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6F0" w:rsidRDefault="001F56F0" w:rsidP="005679B1">
      <w:pPr>
        <w:ind w:left="3969"/>
        <w:jc w:val="both"/>
        <w:rPr>
          <w:rFonts w:ascii="Tahoma" w:hAnsi="Tahoma" w:cs="Tahoma"/>
          <w:sz w:val="22"/>
          <w:szCs w:val="22"/>
        </w:rPr>
      </w:pPr>
    </w:p>
    <w:p w:rsidR="002F6802" w:rsidRDefault="002F6802" w:rsidP="00FE1942">
      <w:pPr>
        <w:ind w:left="3969"/>
        <w:rPr>
          <w:rFonts w:ascii="Century Gothic" w:hAnsi="Century Gothic" w:cs="Tahoma"/>
          <w:sz w:val="22"/>
          <w:szCs w:val="22"/>
        </w:rPr>
      </w:pPr>
    </w:p>
    <w:p w:rsidR="005679B1" w:rsidRDefault="00177ECA" w:rsidP="005A0B10">
      <w:pPr>
        <w:spacing w:line="360" w:lineRule="auto"/>
        <w:ind w:left="3686"/>
        <w:rPr>
          <w:rFonts w:ascii="Century Gothic" w:hAnsi="Century Gothic" w:cs="Tahoma"/>
          <w:sz w:val="22"/>
          <w:szCs w:val="22"/>
        </w:rPr>
      </w:pPr>
      <w:r w:rsidRPr="005A0B10">
        <w:rPr>
          <w:rFonts w:ascii="Century Gothic" w:hAnsi="Century Gothic" w:cs="Tahoma"/>
          <w:sz w:val="22"/>
          <w:szCs w:val="22"/>
        </w:rPr>
        <w:t>DECRETO N</w:t>
      </w:r>
      <w:r w:rsidR="005679B1" w:rsidRPr="005A0B10">
        <w:rPr>
          <w:rFonts w:ascii="Century Gothic" w:hAnsi="Century Gothic" w:cs="Tahoma"/>
          <w:sz w:val="22"/>
          <w:szCs w:val="22"/>
        </w:rPr>
        <w:t>°</w:t>
      </w:r>
      <w:r w:rsidR="00C63789" w:rsidRPr="005A0B10">
        <w:rPr>
          <w:rFonts w:ascii="Century Gothic" w:hAnsi="Century Gothic" w:cs="Tahoma"/>
          <w:sz w:val="22"/>
          <w:szCs w:val="22"/>
        </w:rPr>
        <w:t xml:space="preserve"> </w:t>
      </w:r>
      <w:r w:rsidR="001F4E10">
        <w:rPr>
          <w:rFonts w:ascii="Century Gothic" w:hAnsi="Century Gothic" w:cs="Tahoma"/>
          <w:sz w:val="22"/>
          <w:szCs w:val="22"/>
        </w:rPr>
        <w:t>1330</w:t>
      </w:r>
      <w:r w:rsidR="004A18F2" w:rsidRPr="005A0B10">
        <w:rPr>
          <w:rFonts w:ascii="Century Gothic" w:hAnsi="Century Gothic" w:cs="Tahoma"/>
          <w:sz w:val="22"/>
          <w:szCs w:val="22"/>
        </w:rPr>
        <w:t xml:space="preserve">/2021 </w:t>
      </w:r>
      <w:r w:rsidR="005679B1" w:rsidRPr="005A0B10">
        <w:rPr>
          <w:rFonts w:ascii="Century Gothic" w:hAnsi="Century Gothic" w:cs="Tahoma"/>
          <w:sz w:val="22"/>
          <w:szCs w:val="22"/>
        </w:rPr>
        <w:t>– GM.</w:t>
      </w:r>
    </w:p>
    <w:p w:rsidR="005A0B10" w:rsidRPr="005A0B10" w:rsidRDefault="005A0B10" w:rsidP="005A0B10">
      <w:pPr>
        <w:spacing w:line="360" w:lineRule="auto"/>
        <w:ind w:left="3686"/>
        <w:rPr>
          <w:rFonts w:ascii="Century Gothic" w:hAnsi="Century Gothic" w:cs="Tahoma"/>
          <w:sz w:val="22"/>
          <w:szCs w:val="22"/>
        </w:rPr>
      </w:pPr>
    </w:p>
    <w:p w:rsidR="009B7288" w:rsidRPr="005A0B10" w:rsidRDefault="00891BE2" w:rsidP="005A0B10">
      <w:pPr>
        <w:spacing w:line="360" w:lineRule="auto"/>
        <w:ind w:left="3686"/>
        <w:jc w:val="both"/>
        <w:rPr>
          <w:rFonts w:ascii="Century Gothic" w:hAnsi="Century Gothic" w:cs="Tahoma"/>
          <w:color w:val="000000" w:themeColor="text1"/>
          <w:sz w:val="22"/>
          <w:szCs w:val="22"/>
        </w:rPr>
      </w:pPr>
      <w:r>
        <w:rPr>
          <w:rFonts w:ascii="Century Gothic" w:hAnsi="Century Gothic" w:cs="Tahoma"/>
          <w:sz w:val="22"/>
          <w:szCs w:val="22"/>
        </w:rPr>
        <w:t xml:space="preserve">Designa Servidor Municipal responsável pelas Aplicações junto ao ITR/RFB, normatiza suas funções </w:t>
      </w:r>
      <w:r w:rsidR="009B7288" w:rsidRPr="005A0B10">
        <w:rPr>
          <w:rFonts w:ascii="Century Gothic" w:hAnsi="Century Gothic" w:cs="Tahoma"/>
          <w:color w:val="000000" w:themeColor="text1"/>
          <w:sz w:val="22"/>
          <w:szCs w:val="22"/>
        </w:rPr>
        <w:t xml:space="preserve">e </w:t>
      </w:r>
      <w:r>
        <w:rPr>
          <w:rFonts w:ascii="Century Gothic" w:hAnsi="Century Gothic" w:cs="Tahoma"/>
          <w:color w:val="000000" w:themeColor="text1"/>
          <w:sz w:val="22"/>
          <w:szCs w:val="22"/>
        </w:rPr>
        <w:t xml:space="preserve">dá outras </w:t>
      </w:r>
      <w:r w:rsidR="009B7288" w:rsidRPr="005A0B10">
        <w:rPr>
          <w:rFonts w:ascii="Century Gothic" w:hAnsi="Century Gothic" w:cs="Tahoma"/>
          <w:color w:val="000000" w:themeColor="text1"/>
          <w:sz w:val="22"/>
          <w:szCs w:val="22"/>
        </w:rPr>
        <w:t>providências.</w:t>
      </w:r>
    </w:p>
    <w:p w:rsidR="000B5744" w:rsidRDefault="000B5744" w:rsidP="005A0B10">
      <w:pPr>
        <w:spacing w:line="360" w:lineRule="auto"/>
        <w:ind w:left="3969"/>
        <w:jc w:val="both"/>
        <w:rPr>
          <w:rFonts w:ascii="Century Gothic" w:hAnsi="Century Gothic" w:cs="Tahoma"/>
          <w:color w:val="000000" w:themeColor="text1"/>
          <w:sz w:val="22"/>
          <w:szCs w:val="22"/>
        </w:rPr>
      </w:pPr>
    </w:p>
    <w:p w:rsidR="005176CF" w:rsidRPr="005A0B10" w:rsidRDefault="005176CF" w:rsidP="005A0B10">
      <w:pPr>
        <w:spacing w:line="360" w:lineRule="auto"/>
        <w:ind w:left="3969"/>
        <w:jc w:val="both"/>
        <w:rPr>
          <w:rFonts w:ascii="Century Gothic" w:hAnsi="Century Gothic" w:cs="Tahoma"/>
          <w:color w:val="000000" w:themeColor="text1"/>
          <w:sz w:val="22"/>
          <w:szCs w:val="22"/>
        </w:rPr>
      </w:pPr>
    </w:p>
    <w:p w:rsidR="00333439" w:rsidRDefault="005679B1" w:rsidP="005A0B10">
      <w:pPr>
        <w:spacing w:line="360" w:lineRule="auto"/>
        <w:ind w:left="567"/>
        <w:jc w:val="both"/>
        <w:rPr>
          <w:rFonts w:ascii="Century Gothic" w:hAnsi="Century Gothic" w:cs="Tahoma"/>
          <w:sz w:val="22"/>
          <w:szCs w:val="22"/>
        </w:rPr>
      </w:pPr>
      <w:r w:rsidRPr="005A0B10">
        <w:rPr>
          <w:rFonts w:ascii="Century Gothic" w:hAnsi="Century Gothic" w:cs="Tahoma"/>
          <w:sz w:val="22"/>
          <w:szCs w:val="22"/>
        </w:rPr>
        <w:t xml:space="preserve">O </w:t>
      </w:r>
      <w:r w:rsidR="007E2962" w:rsidRPr="005A0B10">
        <w:rPr>
          <w:rFonts w:ascii="Century Gothic" w:hAnsi="Century Gothic" w:cs="Tahoma"/>
          <w:sz w:val="22"/>
          <w:szCs w:val="22"/>
        </w:rPr>
        <w:t>senhor</w:t>
      </w:r>
      <w:r w:rsidR="007E2962" w:rsidRPr="005A0B10">
        <w:rPr>
          <w:rFonts w:ascii="Century Gothic" w:hAnsi="Century Gothic" w:cs="Tahoma"/>
          <w:b/>
          <w:sz w:val="22"/>
          <w:szCs w:val="22"/>
        </w:rPr>
        <w:t xml:space="preserve"> Wilson Akio Abe, Prefeito de</w:t>
      </w:r>
      <w:r w:rsidRPr="005A0B10">
        <w:rPr>
          <w:rFonts w:ascii="Century Gothic" w:hAnsi="Century Gothic" w:cs="Tahoma"/>
          <w:b/>
          <w:sz w:val="22"/>
          <w:szCs w:val="22"/>
        </w:rPr>
        <w:t xml:space="preserve"> Q</w:t>
      </w:r>
      <w:r w:rsidR="007E2962" w:rsidRPr="005A0B10">
        <w:rPr>
          <w:rFonts w:ascii="Century Gothic" w:hAnsi="Century Gothic" w:cs="Tahoma"/>
          <w:b/>
          <w:sz w:val="22"/>
          <w:szCs w:val="22"/>
        </w:rPr>
        <w:t>uarto</w:t>
      </w:r>
      <w:r w:rsidRPr="005A0B10">
        <w:rPr>
          <w:rFonts w:ascii="Century Gothic" w:hAnsi="Century Gothic" w:cs="Tahoma"/>
          <w:b/>
          <w:sz w:val="22"/>
          <w:szCs w:val="22"/>
        </w:rPr>
        <w:t xml:space="preserve"> C</w:t>
      </w:r>
      <w:r w:rsidR="007E2962" w:rsidRPr="005A0B10">
        <w:rPr>
          <w:rFonts w:ascii="Century Gothic" w:hAnsi="Century Gothic" w:cs="Tahoma"/>
          <w:b/>
          <w:sz w:val="22"/>
          <w:szCs w:val="22"/>
        </w:rPr>
        <w:t>entenário</w:t>
      </w:r>
      <w:r w:rsidRPr="005A0B10">
        <w:rPr>
          <w:rFonts w:ascii="Century Gothic" w:hAnsi="Century Gothic" w:cs="Tahoma"/>
          <w:sz w:val="22"/>
          <w:szCs w:val="22"/>
        </w:rPr>
        <w:t>, no uso de suas atribuições legais previstas no art. 52, inciso IV c/c art. 131, inciso I, alínea “a”, da Le</w:t>
      </w:r>
      <w:r w:rsidR="00333439" w:rsidRPr="005A0B10">
        <w:rPr>
          <w:rFonts w:ascii="Century Gothic" w:hAnsi="Century Gothic" w:cs="Tahoma"/>
          <w:sz w:val="22"/>
          <w:szCs w:val="22"/>
        </w:rPr>
        <w:t xml:space="preserve"> i Orgânica Municipa</w:t>
      </w:r>
      <w:r w:rsidR="002F6802" w:rsidRPr="005A0B10">
        <w:rPr>
          <w:rFonts w:ascii="Century Gothic" w:hAnsi="Century Gothic" w:cs="Tahoma"/>
          <w:sz w:val="22"/>
          <w:szCs w:val="22"/>
        </w:rPr>
        <w:t>l e,</w:t>
      </w:r>
      <w:r w:rsidR="00333439" w:rsidRPr="005A0B10">
        <w:rPr>
          <w:rFonts w:ascii="Century Gothic" w:hAnsi="Century Gothic" w:cs="Tahoma"/>
          <w:sz w:val="22"/>
          <w:szCs w:val="22"/>
        </w:rPr>
        <w:t xml:space="preserve"> </w:t>
      </w:r>
    </w:p>
    <w:p w:rsidR="00891BE2" w:rsidRPr="005A0B10" w:rsidRDefault="00891BE2" w:rsidP="005A0B10">
      <w:pPr>
        <w:spacing w:line="360" w:lineRule="auto"/>
        <w:ind w:left="567"/>
        <w:jc w:val="both"/>
        <w:rPr>
          <w:rFonts w:ascii="Century Gothic" w:hAnsi="Century Gothic" w:cs="Tahoma"/>
          <w:sz w:val="22"/>
          <w:szCs w:val="22"/>
        </w:rPr>
      </w:pPr>
    </w:p>
    <w:p w:rsidR="0097434F" w:rsidRPr="00BC0E52" w:rsidRDefault="0097434F" w:rsidP="005A0B10">
      <w:pPr>
        <w:spacing w:line="360" w:lineRule="auto"/>
        <w:ind w:left="567"/>
        <w:jc w:val="both"/>
        <w:rPr>
          <w:rFonts w:ascii="Century Gothic" w:hAnsi="Century Gothic" w:cs="Tahoma"/>
          <w:b/>
          <w:sz w:val="4"/>
          <w:szCs w:val="4"/>
        </w:rPr>
      </w:pPr>
    </w:p>
    <w:p w:rsidR="00BB0B37" w:rsidRPr="002768FD" w:rsidRDefault="00EC7655" w:rsidP="005A0B10">
      <w:pPr>
        <w:spacing w:line="360" w:lineRule="auto"/>
        <w:ind w:left="567"/>
        <w:jc w:val="both"/>
        <w:rPr>
          <w:rFonts w:ascii="Century Gothic" w:hAnsi="Century Gothic"/>
          <w:sz w:val="22"/>
          <w:szCs w:val="22"/>
        </w:rPr>
      </w:pPr>
      <w:r w:rsidRPr="005A0B10">
        <w:rPr>
          <w:rFonts w:ascii="Century Gothic" w:hAnsi="Century Gothic"/>
          <w:b/>
          <w:sz w:val="22"/>
          <w:szCs w:val="22"/>
        </w:rPr>
        <w:t>Considerando</w:t>
      </w:r>
      <w:r w:rsidRPr="005A0B10">
        <w:rPr>
          <w:rFonts w:ascii="Century Gothic" w:hAnsi="Century Gothic"/>
          <w:sz w:val="22"/>
          <w:szCs w:val="22"/>
        </w:rPr>
        <w:t xml:space="preserve"> </w:t>
      </w:r>
      <w:r w:rsidRPr="002768FD">
        <w:rPr>
          <w:rFonts w:ascii="Century Gothic" w:hAnsi="Century Gothic"/>
          <w:sz w:val="22"/>
          <w:szCs w:val="22"/>
        </w:rPr>
        <w:t xml:space="preserve">que </w:t>
      </w:r>
      <w:r w:rsidR="00A860CB" w:rsidRPr="002768FD">
        <w:rPr>
          <w:rFonts w:ascii="Century Gothic" w:hAnsi="Century Gothic"/>
          <w:sz w:val="22"/>
          <w:szCs w:val="22"/>
        </w:rPr>
        <w:t xml:space="preserve">é </w:t>
      </w:r>
      <w:r w:rsidR="00BB0B37" w:rsidRPr="002768FD">
        <w:rPr>
          <w:rFonts w:ascii="Century Gothic" w:hAnsi="Century Gothic"/>
          <w:sz w:val="22"/>
          <w:szCs w:val="22"/>
        </w:rPr>
        <w:t>O Município</w:t>
      </w:r>
      <w:r w:rsidR="00891BE2">
        <w:rPr>
          <w:rFonts w:ascii="Century Gothic" w:hAnsi="Century Gothic"/>
          <w:sz w:val="22"/>
          <w:szCs w:val="22"/>
        </w:rPr>
        <w:t xml:space="preserve"> de Quarto Centenário, Estado do Paraná</w:t>
      </w:r>
      <w:r w:rsidR="00BB0B37" w:rsidRPr="002768FD">
        <w:rPr>
          <w:rFonts w:ascii="Century Gothic" w:hAnsi="Century Gothic"/>
          <w:color w:val="333333"/>
          <w:sz w:val="22"/>
          <w:szCs w:val="22"/>
          <w:shd w:val="clear" w:color="auto" w:fill="FFFFFF"/>
        </w:rPr>
        <w:t>, fez a opção, em 16/04/2019</w:t>
      </w:r>
      <w:r w:rsidR="00891BE2">
        <w:rPr>
          <w:rFonts w:ascii="Century Gothic" w:hAnsi="Century Gothic"/>
          <w:color w:val="333333"/>
          <w:sz w:val="22"/>
          <w:szCs w:val="22"/>
          <w:shd w:val="clear" w:color="auto" w:fill="FFFFFF"/>
        </w:rPr>
        <w:t xml:space="preserve"> ao</w:t>
      </w:r>
      <w:r w:rsidR="00BB0B37" w:rsidRPr="002768FD">
        <w:rPr>
          <w:rFonts w:ascii="Century Gothic" w:hAnsi="Century Gothic"/>
          <w:color w:val="333333"/>
          <w:sz w:val="22"/>
          <w:szCs w:val="22"/>
          <w:shd w:val="clear" w:color="auto" w:fill="FFFFFF"/>
        </w:rPr>
        <w:t xml:space="preserve"> convênio, nos termos da Lei nº 11.250, de 27 de dezembro de 2005, do Decreto nº 6.433, de 15 de abril de 2008, alterado pelo Decreto nº 6.621, de 29 de outubro de 2008 e pelo Decreto nº 6.770, de 10 de fevereiro de 2009, e da Instrução Normativa RFB nº 1.640, de 11 de maio de 2016.</w:t>
      </w:r>
    </w:p>
    <w:p w:rsidR="002768FD" w:rsidRPr="005176CF" w:rsidRDefault="002768FD" w:rsidP="005A0B10">
      <w:pPr>
        <w:spacing w:line="360" w:lineRule="auto"/>
        <w:ind w:left="567"/>
        <w:jc w:val="both"/>
        <w:rPr>
          <w:rFonts w:ascii="Century Gothic" w:hAnsi="Century Gothic"/>
          <w:b/>
          <w:sz w:val="12"/>
          <w:szCs w:val="12"/>
        </w:rPr>
      </w:pPr>
    </w:p>
    <w:p w:rsidR="00BB0B37" w:rsidRPr="002768FD" w:rsidRDefault="008932C7" w:rsidP="005A0B10">
      <w:pPr>
        <w:spacing w:line="360" w:lineRule="auto"/>
        <w:ind w:left="567"/>
        <w:jc w:val="both"/>
        <w:rPr>
          <w:rFonts w:ascii="Century Gothic" w:hAnsi="Century Gothic"/>
          <w:color w:val="333333"/>
          <w:sz w:val="22"/>
          <w:szCs w:val="22"/>
          <w:shd w:val="clear" w:color="auto" w:fill="FFFFFF"/>
        </w:rPr>
      </w:pPr>
      <w:r w:rsidRPr="002768FD">
        <w:rPr>
          <w:rFonts w:ascii="Century Gothic" w:hAnsi="Century Gothic"/>
          <w:b/>
          <w:sz w:val="22"/>
          <w:szCs w:val="22"/>
        </w:rPr>
        <w:t xml:space="preserve">Considerando </w:t>
      </w:r>
      <w:r w:rsidR="00BB0B37" w:rsidRPr="002768FD">
        <w:rPr>
          <w:rFonts w:ascii="Century Gothic" w:hAnsi="Century Gothic"/>
          <w:sz w:val="22"/>
          <w:szCs w:val="22"/>
        </w:rPr>
        <w:t>que a</w:t>
      </w:r>
      <w:r w:rsidR="00BB0B37" w:rsidRPr="002768FD">
        <w:rPr>
          <w:rFonts w:ascii="Century Gothic" w:hAnsi="Century Gothic"/>
          <w:color w:val="333333"/>
          <w:sz w:val="22"/>
          <w:szCs w:val="22"/>
          <w:shd w:val="clear" w:color="auto" w:fill="FFFFFF"/>
        </w:rPr>
        <w:t xml:space="preserve"> celebração do Convênio está condicionada ao </w:t>
      </w:r>
      <w:proofErr w:type="gramStart"/>
      <w:r w:rsidR="00BB0B37" w:rsidRPr="002768FD">
        <w:rPr>
          <w:rFonts w:ascii="Century Gothic" w:hAnsi="Century Gothic"/>
          <w:color w:val="333333"/>
          <w:sz w:val="22"/>
          <w:szCs w:val="22"/>
          <w:shd w:val="clear" w:color="auto" w:fill="FFFFFF"/>
        </w:rPr>
        <w:t>cumprimento</w:t>
      </w:r>
      <w:proofErr w:type="gramEnd"/>
      <w:r w:rsidR="00BB0B37" w:rsidRPr="002768FD">
        <w:rPr>
          <w:rFonts w:ascii="Century Gothic" w:hAnsi="Century Gothic"/>
          <w:color w:val="333333"/>
          <w:sz w:val="22"/>
          <w:szCs w:val="22"/>
          <w:shd w:val="clear" w:color="auto" w:fill="FFFFFF"/>
        </w:rPr>
        <w:t xml:space="preserve"> dos requisitos e condições estabelecidos pela RFB, observadas as resoluções do Comitê Gestor do Imposto sobre a Propriedade Territorial Rural (CGITR) e somente é considerada concluída e o convênio vigente após a publicação de seu extrato em Diário Oficial da União, conforme Art.13 da Instrução Normativa nº 1.640/2016</w:t>
      </w:r>
    </w:p>
    <w:p w:rsidR="00BB0B37" w:rsidRPr="005176CF" w:rsidRDefault="00BB0B37" w:rsidP="005A0B10">
      <w:pPr>
        <w:spacing w:line="360" w:lineRule="auto"/>
        <w:ind w:left="567"/>
        <w:jc w:val="both"/>
        <w:rPr>
          <w:rFonts w:ascii="Verdana" w:hAnsi="Verdana"/>
          <w:color w:val="333333"/>
          <w:sz w:val="12"/>
          <w:szCs w:val="12"/>
          <w:shd w:val="clear" w:color="auto" w:fill="FFFFFF"/>
        </w:rPr>
      </w:pPr>
    </w:p>
    <w:p w:rsidR="008932C7" w:rsidRDefault="008932C7" w:rsidP="005A0B10">
      <w:pPr>
        <w:spacing w:line="360" w:lineRule="auto"/>
        <w:ind w:left="567"/>
        <w:jc w:val="both"/>
        <w:rPr>
          <w:rFonts w:ascii="Century Gothic" w:hAnsi="Century Gothic"/>
          <w:color w:val="333333"/>
          <w:sz w:val="22"/>
          <w:szCs w:val="22"/>
          <w:shd w:val="clear" w:color="auto" w:fill="FFFFFF"/>
        </w:rPr>
      </w:pPr>
      <w:r w:rsidRPr="005A0B10">
        <w:rPr>
          <w:rFonts w:ascii="Century Gothic" w:hAnsi="Century Gothic"/>
          <w:b/>
          <w:sz w:val="22"/>
          <w:szCs w:val="22"/>
        </w:rPr>
        <w:t>Considerando</w:t>
      </w:r>
      <w:r>
        <w:rPr>
          <w:rFonts w:ascii="Century Gothic" w:hAnsi="Century Gothic"/>
          <w:b/>
          <w:sz w:val="22"/>
          <w:szCs w:val="22"/>
        </w:rPr>
        <w:t xml:space="preserve"> </w:t>
      </w:r>
      <w:r w:rsidR="00BB0B37" w:rsidRPr="002768FD">
        <w:rPr>
          <w:rFonts w:ascii="Century Gothic" w:hAnsi="Century Gothic"/>
          <w:sz w:val="22"/>
          <w:szCs w:val="22"/>
        </w:rPr>
        <w:t xml:space="preserve">que o Servidor Municipal </w:t>
      </w:r>
      <w:r w:rsidR="000C5268" w:rsidRPr="002768FD">
        <w:rPr>
          <w:rFonts w:ascii="Century Gothic" w:hAnsi="Century Gothic"/>
          <w:sz w:val="22"/>
          <w:szCs w:val="22"/>
        </w:rPr>
        <w:t xml:space="preserve">recebeu o </w:t>
      </w:r>
      <w:r w:rsidR="00BB0B37" w:rsidRPr="002768FD">
        <w:rPr>
          <w:rFonts w:ascii="Century Gothic" w:hAnsi="Century Gothic"/>
          <w:color w:val="333333"/>
          <w:sz w:val="22"/>
          <w:szCs w:val="22"/>
          <w:shd w:val="clear" w:color="auto" w:fill="FFFFFF"/>
        </w:rPr>
        <w:t xml:space="preserve">treinamento </w:t>
      </w:r>
      <w:r w:rsidR="000C5268" w:rsidRPr="002768FD">
        <w:rPr>
          <w:rFonts w:ascii="Century Gothic" w:hAnsi="Century Gothic"/>
          <w:color w:val="333333"/>
          <w:sz w:val="22"/>
          <w:szCs w:val="22"/>
          <w:shd w:val="clear" w:color="auto" w:fill="FFFFFF"/>
        </w:rPr>
        <w:t>requerido na Instrução Normativa RFB nº 1.640, de 11 de maio de 2016.</w:t>
      </w:r>
    </w:p>
    <w:p w:rsidR="002768FD" w:rsidRPr="005176CF" w:rsidRDefault="002768FD" w:rsidP="005A0B10">
      <w:pPr>
        <w:spacing w:line="360" w:lineRule="auto"/>
        <w:ind w:left="567"/>
        <w:jc w:val="both"/>
        <w:rPr>
          <w:rFonts w:ascii="Century Gothic" w:hAnsi="Century Gothic"/>
          <w:sz w:val="12"/>
          <w:szCs w:val="12"/>
        </w:rPr>
      </w:pPr>
    </w:p>
    <w:p w:rsidR="000B20D2" w:rsidRDefault="00FC07D7" w:rsidP="005A0B10">
      <w:pPr>
        <w:spacing w:line="360" w:lineRule="auto"/>
        <w:ind w:left="567"/>
        <w:jc w:val="both"/>
        <w:rPr>
          <w:rFonts w:ascii="Century Gothic" w:hAnsi="Century Gothic"/>
          <w:sz w:val="22"/>
          <w:szCs w:val="22"/>
        </w:rPr>
      </w:pPr>
      <w:r w:rsidRPr="005A0B10">
        <w:rPr>
          <w:rFonts w:ascii="Century Gothic" w:hAnsi="Century Gothic"/>
          <w:b/>
          <w:sz w:val="22"/>
          <w:szCs w:val="22"/>
        </w:rPr>
        <w:t>Considerando</w:t>
      </w:r>
      <w:r>
        <w:rPr>
          <w:rFonts w:ascii="Century Gothic" w:hAnsi="Century Gothic"/>
          <w:b/>
          <w:sz w:val="22"/>
          <w:szCs w:val="22"/>
        </w:rPr>
        <w:t xml:space="preserve"> </w:t>
      </w:r>
      <w:r w:rsidR="000B20D2" w:rsidRPr="000B20D2">
        <w:rPr>
          <w:rFonts w:ascii="Century Gothic" w:hAnsi="Century Gothic"/>
          <w:sz w:val="22"/>
          <w:szCs w:val="22"/>
        </w:rPr>
        <w:t>que</w:t>
      </w:r>
      <w:r w:rsidR="000B20D2">
        <w:rPr>
          <w:rFonts w:ascii="Century Gothic" w:hAnsi="Century Gothic"/>
          <w:b/>
          <w:sz w:val="22"/>
          <w:szCs w:val="22"/>
        </w:rPr>
        <w:t xml:space="preserve"> </w:t>
      </w:r>
      <w:r w:rsidRPr="00FC07D7">
        <w:rPr>
          <w:rFonts w:ascii="Century Gothic" w:hAnsi="Century Gothic"/>
          <w:sz w:val="22"/>
          <w:szCs w:val="22"/>
        </w:rPr>
        <w:t xml:space="preserve">o </w:t>
      </w:r>
      <w:r w:rsidR="000C5268">
        <w:rPr>
          <w:rFonts w:ascii="Century Gothic" w:hAnsi="Century Gothic"/>
          <w:sz w:val="22"/>
          <w:szCs w:val="22"/>
        </w:rPr>
        <w:t xml:space="preserve">Servidor </w:t>
      </w:r>
      <w:r w:rsidR="002768FD">
        <w:rPr>
          <w:rFonts w:ascii="Century Gothic" w:hAnsi="Century Gothic"/>
          <w:sz w:val="22"/>
          <w:szCs w:val="22"/>
        </w:rPr>
        <w:t xml:space="preserve">Municipal obteve </w:t>
      </w:r>
      <w:r w:rsidR="000C5268">
        <w:rPr>
          <w:rFonts w:ascii="Century Gothic" w:hAnsi="Century Gothic"/>
          <w:sz w:val="22"/>
          <w:szCs w:val="22"/>
        </w:rPr>
        <w:t>homologação</w:t>
      </w:r>
      <w:r w:rsidR="000B20D2">
        <w:rPr>
          <w:rFonts w:ascii="Century Gothic" w:hAnsi="Century Gothic"/>
          <w:sz w:val="22"/>
          <w:szCs w:val="22"/>
        </w:rPr>
        <w:t xml:space="preserve"> para acesso as aplicações do ITR.</w:t>
      </w:r>
    </w:p>
    <w:p w:rsidR="00FC07D7" w:rsidRDefault="00FC07D7" w:rsidP="005A0B10">
      <w:pPr>
        <w:spacing w:line="360" w:lineRule="auto"/>
        <w:ind w:left="567"/>
        <w:jc w:val="both"/>
        <w:rPr>
          <w:rFonts w:ascii="Century Gothic" w:hAnsi="Century Gothic"/>
          <w:sz w:val="22"/>
          <w:szCs w:val="22"/>
        </w:rPr>
      </w:pPr>
    </w:p>
    <w:p w:rsidR="005176CF" w:rsidRDefault="005176CF" w:rsidP="005A0B10">
      <w:pPr>
        <w:spacing w:line="360" w:lineRule="auto"/>
        <w:ind w:left="567"/>
        <w:jc w:val="both"/>
        <w:rPr>
          <w:rFonts w:ascii="Century Gothic" w:hAnsi="Century Gothic"/>
          <w:sz w:val="22"/>
          <w:szCs w:val="22"/>
        </w:rPr>
      </w:pPr>
    </w:p>
    <w:p w:rsidR="005176CF" w:rsidRDefault="005176CF" w:rsidP="005A0B10">
      <w:pPr>
        <w:spacing w:line="360" w:lineRule="auto"/>
        <w:ind w:left="567"/>
        <w:jc w:val="both"/>
        <w:rPr>
          <w:rFonts w:ascii="Century Gothic" w:hAnsi="Century Gothic"/>
          <w:sz w:val="22"/>
          <w:szCs w:val="22"/>
        </w:rPr>
      </w:pPr>
    </w:p>
    <w:p w:rsidR="00FC07D7" w:rsidRDefault="00FC07D7" w:rsidP="005A0B10">
      <w:pPr>
        <w:spacing w:line="360" w:lineRule="auto"/>
        <w:ind w:left="567"/>
        <w:jc w:val="both"/>
        <w:rPr>
          <w:rFonts w:ascii="Century Gothic" w:hAnsi="Century Gothic"/>
          <w:sz w:val="22"/>
          <w:szCs w:val="22"/>
        </w:rPr>
      </w:pPr>
      <w:r>
        <w:rPr>
          <w:rFonts w:ascii="Century Gothic" w:hAnsi="Century Gothic"/>
          <w:sz w:val="22"/>
          <w:szCs w:val="22"/>
        </w:rPr>
        <w:t>DECRETA:</w:t>
      </w:r>
    </w:p>
    <w:p w:rsidR="00891BE2" w:rsidRDefault="00891BE2" w:rsidP="005A0B10">
      <w:pPr>
        <w:spacing w:line="360" w:lineRule="auto"/>
        <w:ind w:left="567"/>
        <w:jc w:val="both"/>
        <w:rPr>
          <w:rFonts w:ascii="Century Gothic" w:hAnsi="Century Gothic"/>
          <w:b/>
          <w:sz w:val="22"/>
          <w:szCs w:val="22"/>
        </w:rPr>
      </w:pPr>
    </w:p>
    <w:p w:rsidR="000B20D2" w:rsidRDefault="00FC07D7" w:rsidP="005A0B10">
      <w:pPr>
        <w:spacing w:line="360" w:lineRule="auto"/>
        <w:ind w:left="567"/>
        <w:jc w:val="both"/>
        <w:rPr>
          <w:rFonts w:ascii="Century Gothic" w:hAnsi="Century Gothic"/>
          <w:sz w:val="22"/>
          <w:szCs w:val="22"/>
        </w:rPr>
      </w:pPr>
      <w:r w:rsidRPr="00FC07D7">
        <w:rPr>
          <w:rFonts w:ascii="Century Gothic" w:hAnsi="Century Gothic"/>
          <w:b/>
          <w:sz w:val="22"/>
          <w:szCs w:val="22"/>
        </w:rPr>
        <w:t>Art. 1º</w:t>
      </w:r>
      <w:r>
        <w:rPr>
          <w:rFonts w:ascii="Century Gothic" w:hAnsi="Century Gothic"/>
          <w:b/>
          <w:sz w:val="22"/>
          <w:szCs w:val="22"/>
        </w:rPr>
        <w:t xml:space="preserve">. </w:t>
      </w:r>
      <w:r w:rsidRPr="00FC07D7">
        <w:rPr>
          <w:rFonts w:ascii="Century Gothic" w:hAnsi="Century Gothic"/>
          <w:sz w:val="22"/>
          <w:szCs w:val="22"/>
        </w:rPr>
        <w:t xml:space="preserve">Fica </w:t>
      </w:r>
      <w:r w:rsidR="000B20D2">
        <w:rPr>
          <w:rFonts w:ascii="Century Gothic" w:hAnsi="Century Gothic"/>
          <w:sz w:val="22"/>
          <w:szCs w:val="22"/>
        </w:rPr>
        <w:t>designado para responder perante as aplicações relativas ao ITR nos sistemas da Receita Federal do Brasil – RFB, o Senhor Marcelo da Silva de Souza, Fiscal Municipal, matrícula nº 543.</w:t>
      </w:r>
    </w:p>
    <w:p w:rsidR="00831DDA" w:rsidRPr="00BC0E52" w:rsidRDefault="00335EE8" w:rsidP="00BC0E52">
      <w:pPr>
        <w:spacing w:line="360" w:lineRule="auto"/>
        <w:ind w:left="567"/>
        <w:jc w:val="both"/>
        <w:rPr>
          <w:rFonts w:ascii="Century Gothic" w:eastAsia="Times New Roman" w:hAnsi="Century Gothic" w:cs="Arial"/>
          <w:caps/>
          <w:color w:val="000000"/>
          <w:sz w:val="22"/>
          <w:szCs w:val="22"/>
        </w:rPr>
      </w:pPr>
      <w:r>
        <w:rPr>
          <w:rFonts w:ascii="Century Gothic" w:hAnsi="Century Gothic"/>
          <w:b/>
          <w:sz w:val="22"/>
          <w:szCs w:val="22"/>
        </w:rPr>
        <w:t xml:space="preserve">Art. </w:t>
      </w:r>
      <w:r w:rsidR="000B20D2">
        <w:rPr>
          <w:rFonts w:ascii="Century Gothic" w:hAnsi="Century Gothic"/>
          <w:b/>
          <w:sz w:val="22"/>
          <w:szCs w:val="22"/>
        </w:rPr>
        <w:t>2</w:t>
      </w:r>
      <w:r w:rsidRPr="00605E94">
        <w:rPr>
          <w:rFonts w:ascii="Century Gothic" w:hAnsi="Century Gothic"/>
          <w:b/>
          <w:sz w:val="22"/>
          <w:szCs w:val="22"/>
        </w:rPr>
        <w:t>º.</w:t>
      </w:r>
      <w:r>
        <w:rPr>
          <w:rFonts w:ascii="Century Gothic" w:hAnsi="Century Gothic"/>
          <w:b/>
          <w:sz w:val="22"/>
          <w:szCs w:val="22"/>
        </w:rPr>
        <w:t xml:space="preserve"> </w:t>
      </w:r>
      <w:r w:rsidR="00831DDA" w:rsidRPr="00891BE2">
        <w:rPr>
          <w:rFonts w:ascii="Century Gothic" w:hAnsi="Century Gothic"/>
          <w:sz w:val="22"/>
          <w:szCs w:val="22"/>
        </w:rPr>
        <w:t xml:space="preserve">O servidor indicado deverá manter-se sintonizado observando </w:t>
      </w:r>
      <w:r w:rsidR="00891BE2">
        <w:rPr>
          <w:rFonts w:ascii="Century Gothic" w:hAnsi="Century Gothic"/>
          <w:sz w:val="22"/>
          <w:szCs w:val="22"/>
        </w:rPr>
        <w:t xml:space="preserve">e fazendo cumprir </w:t>
      </w:r>
      <w:r w:rsidR="00831DDA" w:rsidRPr="00891BE2">
        <w:rPr>
          <w:rFonts w:ascii="Century Gothic" w:hAnsi="Century Gothic"/>
          <w:sz w:val="22"/>
          <w:szCs w:val="22"/>
        </w:rPr>
        <w:t>as seguintes condições</w:t>
      </w:r>
      <w:r w:rsidR="00831DDA" w:rsidRPr="00BC0E52">
        <w:rPr>
          <w:rFonts w:ascii="Century Gothic" w:hAnsi="Century Gothic"/>
          <w:b/>
          <w:sz w:val="22"/>
          <w:szCs w:val="22"/>
        </w:rPr>
        <w:t xml:space="preserve"> </w:t>
      </w:r>
      <w:r w:rsidR="00891BE2" w:rsidRPr="00831DDA">
        <w:rPr>
          <w:rFonts w:ascii="Century Gothic" w:eastAsia="Times New Roman" w:hAnsi="Century Gothic" w:cs="Arial"/>
          <w:color w:val="000000"/>
          <w:sz w:val="22"/>
          <w:szCs w:val="22"/>
        </w:rPr>
        <w:t>para a execução do convênio</w:t>
      </w:r>
      <w:r w:rsidR="00536397" w:rsidRPr="00BC0E52">
        <w:rPr>
          <w:rFonts w:ascii="Century Gothic" w:eastAsia="Times New Roman" w:hAnsi="Century Gothic" w:cs="Arial"/>
          <w:caps/>
          <w:color w:val="000000"/>
          <w:sz w:val="22"/>
          <w:szCs w:val="22"/>
        </w:rPr>
        <w:t>:</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0" w:name="1626914"/>
      <w:bookmarkStart w:id="1" w:name="1626915"/>
      <w:bookmarkEnd w:id="0"/>
      <w:bookmarkEnd w:id="1"/>
      <w:r w:rsidRPr="00831DDA">
        <w:rPr>
          <w:rFonts w:ascii="Century Gothic" w:eastAsia="Times New Roman" w:hAnsi="Century Gothic" w:cs="Arial"/>
          <w:color w:val="000000"/>
          <w:sz w:val="22"/>
          <w:szCs w:val="22"/>
        </w:rPr>
        <w:t>I - estrutura de tecnologia da informação suficiente para acessar os sistemas da RFB, que contemple equipamentos e redes de comunicação;</w:t>
      </w:r>
    </w:p>
    <w:p w:rsidR="00831DDA" w:rsidRPr="00BC0E52"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2" w:name="1626916"/>
      <w:bookmarkEnd w:id="2"/>
      <w:r w:rsidRPr="00831DDA">
        <w:rPr>
          <w:rFonts w:ascii="Century Gothic" w:eastAsia="Times New Roman" w:hAnsi="Century Gothic" w:cs="Arial"/>
          <w:color w:val="000000"/>
          <w:sz w:val="22"/>
          <w:szCs w:val="22"/>
        </w:rPr>
        <w:t>II - servidor habilitado para a fiscalização e a cobrança do ITR</w:t>
      </w:r>
      <w:r w:rsidRPr="00BC0E52">
        <w:rPr>
          <w:rFonts w:ascii="Century Gothic" w:eastAsia="Times New Roman" w:hAnsi="Century Gothic" w:cs="Arial"/>
          <w:color w:val="000000"/>
          <w:sz w:val="22"/>
          <w:szCs w:val="22"/>
        </w:rPr>
        <w:t xml:space="preserve"> nas normas da Receita Federal do Brasil – RFB;</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3" w:name="1626917"/>
      <w:bookmarkEnd w:id="3"/>
      <w:r w:rsidRPr="00831DDA">
        <w:rPr>
          <w:rFonts w:ascii="Century Gothic" w:eastAsia="Times New Roman" w:hAnsi="Century Gothic" w:cs="Arial"/>
          <w:color w:val="000000"/>
          <w:sz w:val="22"/>
          <w:szCs w:val="22"/>
        </w:rPr>
        <w:t>III - informar os valores de terra nua por hectare (VTN/ha), para fins de atualização do Sistema de Preços de Terras (SIPT) da RFB;</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4" w:name="1626918"/>
      <w:bookmarkEnd w:id="4"/>
      <w:r w:rsidRPr="00831DDA">
        <w:rPr>
          <w:rFonts w:ascii="Century Gothic" w:eastAsia="Times New Roman" w:hAnsi="Century Gothic" w:cs="Arial"/>
          <w:color w:val="000000"/>
          <w:sz w:val="22"/>
          <w:szCs w:val="22"/>
        </w:rPr>
        <w:t>IV - cumprir as metas mínimas de fiscalização definidas pela RFB, observadas as resoluções do CGITR;</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5" w:name="1626919"/>
      <w:bookmarkEnd w:id="5"/>
      <w:r w:rsidRPr="00831DDA">
        <w:rPr>
          <w:rFonts w:ascii="Century Gothic" w:eastAsia="Times New Roman" w:hAnsi="Century Gothic" w:cs="Arial"/>
          <w:color w:val="000000"/>
          <w:sz w:val="22"/>
          <w:szCs w:val="22"/>
        </w:rPr>
        <w:t>V - cumprir as normas relacionadas ao sigilo fiscal, inclusive as normas de segurança referentes aos sistemas informatizados da RFB;</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6" w:name="1626920"/>
      <w:bookmarkEnd w:id="6"/>
      <w:r w:rsidRPr="00831DDA">
        <w:rPr>
          <w:rFonts w:ascii="Century Gothic" w:eastAsia="Times New Roman" w:hAnsi="Century Gothic" w:cs="Arial"/>
          <w:color w:val="000000"/>
          <w:sz w:val="22"/>
          <w:szCs w:val="22"/>
        </w:rPr>
        <w:t>VI - expedir notificação de lançamento, intimação, avisos e outros documentos em conformidade com os modelos aprovados pela RFB;</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7" w:name="1626921"/>
      <w:bookmarkEnd w:id="7"/>
      <w:r w:rsidRPr="00831DDA">
        <w:rPr>
          <w:rFonts w:ascii="Century Gothic" w:eastAsia="Times New Roman" w:hAnsi="Century Gothic" w:cs="Arial"/>
          <w:color w:val="000000"/>
          <w:sz w:val="22"/>
          <w:szCs w:val="22"/>
        </w:rPr>
        <w:t>VII - instruir e encaminhar à unidade da RFB os processos administrativos fiscais, nos casos de lançamento de ofício do ITR fiscalizado e cobrado sob a égide do convênio;</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8" w:name="1626922"/>
      <w:bookmarkEnd w:id="8"/>
      <w:r w:rsidRPr="00831DDA">
        <w:rPr>
          <w:rFonts w:ascii="Century Gothic" w:eastAsia="Times New Roman" w:hAnsi="Century Gothic" w:cs="Arial"/>
          <w:color w:val="000000"/>
          <w:sz w:val="22"/>
          <w:szCs w:val="22"/>
        </w:rPr>
        <w:t>VIII - prestar, aos sujeitos passivos, atendimento decorrente dos procedimentos fiscais efetuados por seus servidores;</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9" w:name="1626923"/>
      <w:bookmarkEnd w:id="9"/>
      <w:r w:rsidRPr="00831DDA">
        <w:rPr>
          <w:rFonts w:ascii="Century Gothic" w:eastAsia="Times New Roman" w:hAnsi="Century Gothic" w:cs="Arial"/>
          <w:color w:val="000000"/>
          <w:sz w:val="22"/>
          <w:szCs w:val="22"/>
        </w:rPr>
        <w:t xml:space="preserve">IX - guardar em boa ordem as informações, os processos e os demais documentos referentes aos procedimentos fiscais em andamento, bem como aos concluídos nos últimos </w:t>
      </w:r>
      <w:proofErr w:type="gramStart"/>
      <w:r w:rsidRPr="00831DDA">
        <w:rPr>
          <w:rFonts w:ascii="Century Gothic" w:eastAsia="Times New Roman" w:hAnsi="Century Gothic" w:cs="Arial"/>
          <w:color w:val="000000"/>
          <w:sz w:val="22"/>
          <w:szCs w:val="22"/>
        </w:rPr>
        <w:t>6</w:t>
      </w:r>
      <w:proofErr w:type="gramEnd"/>
      <w:r w:rsidRPr="00831DDA">
        <w:rPr>
          <w:rFonts w:ascii="Century Gothic" w:eastAsia="Times New Roman" w:hAnsi="Century Gothic" w:cs="Arial"/>
          <w:color w:val="000000"/>
          <w:sz w:val="22"/>
          <w:szCs w:val="22"/>
        </w:rPr>
        <w:t xml:space="preserve"> (seis) anos, no caso de a conclusão do trabalho resultar em liberação da DITR sem lançamento de ofício;</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10" w:name="1626924"/>
      <w:bookmarkEnd w:id="10"/>
      <w:r w:rsidRPr="00831DDA">
        <w:rPr>
          <w:rFonts w:ascii="Century Gothic" w:eastAsia="Times New Roman" w:hAnsi="Century Gothic" w:cs="Arial"/>
          <w:color w:val="000000"/>
          <w:sz w:val="22"/>
          <w:szCs w:val="22"/>
        </w:rPr>
        <w:t xml:space="preserve">X - elaborar, conjuntamente com a unidade da RFB de sua circunscrição, cronograma de expedição de avisos de cobrança; </w:t>
      </w:r>
      <w:proofErr w:type="gramStart"/>
      <w:r w:rsidRPr="00831DDA">
        <w:rPr>
          <w:rFonts w:ascii="Century Gothic" w:eastAsia="Times New Roman" w:hAnsi="Century Gothic" w:cs="Arial"/>
          <w:color w:val="000000"/>
          <w:sz w:val="22"/>
          <w:szCs w:val="22"/>
        </w:rPr>
        <w:t>e</w:t>
      </w:r>
      <w:proofErr w:type="gramEnd"/>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11" w:name="1626925"/>
      <w:bookmarkStart w:id="12" w:name="1626928"/>
      <w:bookmarkEnd w:id="11"/>
      <w:bookmarkEnd w:id="12"/>
      <w:r w:rsidRPr="00831DDA">
        <w:rPr>
          <w:rFonts w:ascii="Century Gothic" w:eastAsia="Times New Roman" w:hAnsi="Century Gothic" w:cs="Arial"/>
          <w:color w:val="000000"/>
          <w:sz w:val="22"/>
          <w:szCs w:val="22"/>
        </w:rPr>
        <w:t>§ 1</w:t>
      </w:r>
      <w:r w:rsidRPr="00831DDA">
        <w:rPr>
          <w:rFonts w:ascii="Century Gothic" w:eastAsia="Times New Roman" w:hAnsi="Century Gothic" w:cs="Arial"/>
          <w:strike/>
          <w:color w:val="000000"/>
          <w:sz w:val="22"/>
          <w:szCs w:val="22"/>
        </w:rPr>
        <w:t>º</w:t>
      </w:r>
      <w:r w:rsidRPr="00831DDA">
        <w:rPr>
          <w:rFonts w:ascii="Century Gothic" w:eastAsia="Times New Roman" w:hAnsi="Century Gothic" w:cs="Arial"/>
          <w:color w:val="000000"/>
          <w:sz w:val="22"/>
          <w:szCs w:val="22"/>
        </w:rPr>
        <w:t> Caso o ente conveniado não tenha condições de satisfazer, durante a vigência do convênio, qualquer uma das condições de que trata este artigo, deverá informar a situação imediatamente à RFB, no respectivo processo digital de que trata o art. 9</w:t>
      </w:r>
      <w:r w:rsidRPr="00831DDA">
        <w:rPr>
          <w:rFonts w:ascii="Century Gothic" w:eastAsia="Times New Roman" w:hAnsi="Century Gothic" w:cs="Arial"/>
          <w:strike/>
          <w:color w:val="000000"/>
          <w:sz w:val="22"/>
          <w:szCs w:val="22"/>
        </w:rPr>
        <w:t>º</w:t>
      </w:r>
      <w:r w:rsidRPr="00831DDA">
        <w:rPr>
          <w:rFonts w:ascii="Century Gothic" w:eastAsia="Times New Roman" w:hAnsi="Century Gothic" w:cs="Arial"/>
          <w:color w:val="000000"/>
          <w:sz w:val="22"/>
          <w:szCs w:val="22"/>
        </w:rPr>
        <w:t xml:space="preserve">, a qual determinará prazo suficiente para adequação, inclusive para treinamento de novos servidores no caso </w:t>
      </w:r>
      <w:r w:rsidRPr="00831DDA">
        <w:rPr>
          <w:rFonts w:ascii="Century Gothic" w:eastAsia="Times New Roman" w:hAnsi="Century Gothic" w:cs="Arial"/>
          <w:color w:val="000000"/>
          <w:sz w:val="22"/>
          <w:szCs w:val="22"/>
        </w:rPr>
        <w:lastRenderedPageBreak/>
        <w:t xml:space="preserve">de descumprimento momentâneo do disposto no inciso II do caput, </w:t>
      </w:r>
      <w:proofErr w:type="gramStart"/>
      <w:r w:rsidRPr="00831DDA">
        <w:rPr>
          <w:rFonts w:ascii="Century Gothic" w:eastAsia="Times New Roman" w:hAnsi="Century Gothic" w:cs="Arial"/>
          <w:color w:val="000000"/>
          <w:sz w:val="22"/>
          <w:szCs w:val="22"/>
        </w:rPr>
        <w:t>sob pena</w:t>
      </w:r>
      <w:proofErr w:type="gramEnd"/>
      <w:r w:rsidRPr="00831DDA">
        <w:rPr>
          <w:rFonts w:ascii="Century Gothic" w:eastAsia="Times New Roman" w:hAnsi="Century Gothic" w:cs="Arial"/>
          <w:color w:val="000000"/>
          <w:sz w:val="22"/>
          <w:szCs w:val="22"/>
        </w:rPr>
        <w:t xml:space="preserve"> de denúncia do convênio.</w:t>
      </w:r>
    </w:p>
    <w:p w:rsidR="00831DDA" w:rsidRPr="00831DDA" w:rsidRDefault="00831DDA" w:rsidP="00BC0E52">
      <w:pPr>
        <w:shd w:val="clear" w:color="auto" w:fill="FFFFFF"/>
        <w:spacing w:line="360" w:lineRule="auto"/>
        <w:ind w:left="567"/>
        <w:jc w:val="both"/>
        <w:rPr>
          <w:rFonts w:ascii="Century Gothic" w:eastAsia="Times New Roman" w:hAnsi="Century Gothic" w:cs="Arial"/>
          <w:color w:val="000000"/>
          <w:sz w:val="22"/>
          <w:szCs w:val="22"/>
        </w:rPr>
      </w:pPr>
      <w:bookmarkStart w:id="13" w:name="1626929"/>
      <w:bookmarkEnd w:id="13"/>
      <w:r w:rsidRPr="00831DDA">
        <w:rPr>
          <w:rFonts w:ascii="Century Gothic" w:eastAsia="Times New Roman" w:hAnsi="Century Gothic" w:cs="Arial"/>
          <w:color w:val="000000"/>
          <w:sz w:val="22"/>
          <w:szCs w:val="22"/>
        </w:rPr>
        <w:t>§ 2</w:t>
      </w:r>
      <w:r w:rsidRPr="00831DDA">
        <w:rPr>
          <w:rFonts w:ascii="Century Gothic" w:eastAsia="Times New Roman" w:hAnsi="Century Gothic" w:cs="Arial"/>
          <w:strike/>
          <w:color w:val="000000"/>
          <w:sz w:val="22"/>
          <w:szCs w:val="22"/>
        </w:rPr>
        <w:t>º</w:t>
      </w:r>
      <w:r w:rsidRPr="00831DDA">
        <w:rPr>
          <w:rFonts w:ascii="Century Gothic" w:eastAsia="Times New Roman" w:hAnsi="Century Gothic" w:cs="Arial"/>
          <w:color w:val="000000"/>
          <w:sz w:val="22"/>
          <w:szCs w:val="22"/>
        </w:rPr>
        <w:t> Para fins do disposto no inciso IV do caput, não serão considerados os procedimentos fiscais executados com erros que acarretem o cancelamento dos respectivos lançamentos de ofício.</w:t>
      </w:r>
    </w:p>
    <w:p w:rsidR="00F7206C" w:rsidRPr="00536397" w:rsidRDefault="00F7206C" w:rsidP="00536397">
      <w:pPr>
        <w:spacing w:line="360" w:lineRule="auto"/>
        <w:ind w:left="567"/>
        <w:jc w:val="both"/>
        <w:rPr>
          <w:rFonts w:ascii="Century Gothic" w:hAnsi="Century Gothic"/>
          <w:sz w:val="22"/>
          <w:szCs w:val="22"/>
        </w:rPr>
      </w:pPr>
      <w:bookmarkStart w:id="14" w:name="1626930"/>
      <w:bookmarkEnd w:id="14"/>
      <w:r w:rsidRPr="00536397">
        <w:rPr>
          <w:rFonts w:ascii="Century Gothic" w:hAnsi="Century Gothic"/>
          <w:b/>
          <w:sz w:val="22"/>
          <w:szCs w:val="22"/>
        </w:rPr>
        <w:t xml:space="preserve">Art. 5º. </w:t>
      </w:r>
      <w:r w:rsidRPr="00536397">
        <w:rPr>
          <w:rFonts w:ascii="Century Gothic" w:hAnsi="Century Gothic"/>
          <w:sz w:val="22"/>
          <w:szCs w:val="22"/>
        </w:rPr>
        <w:t>Este Decreto entra em vigor na data de sua publicação.</w:t>
      </w:r>
    </w:p>
    <w:p w:rsidR="005176CF" w:rsidRDefault="005176CF" w:rsidP="005A0B10">
      <w:pPr>
        <w:tabs>
          <w:tab w:val="left" w:pos="1025"/>
        </w:tabs>
        <w:spacing w:line="360" w:lineRule="auto"/>
        <w:ind w:left="567"/>
        <w:jc w:val="both"/>
        <w:rPr>
          <w:rFonts w:ascii="Century Gothic" w:hAnsi="Century Gothic" w:cs="Tahoma"/>
          <w:b/>
          <w:sz w:val="22"/>
          <w:szCs w:val="22"/>
        </w:rPr>
      </w:pPr>
    </w:p>
    <w:p w:rsidR="007E2962" w:rsidRPr="005A0B10" w:rsidRDefault="002A4DA5" w:rsidP="005A0B10">
      <w:pPr>
        <w:tabs>
          <w:tab w:val="left" w:pos="1025"/>
        </w:tabs>
        <w:spacing w:line="360" w:lineRule="auto"/>
        <w:ind w:left="567"/>
        <w:jc w:val="both"/>
        <w:rPr>
          <w:rFonts w:ascii="Century Gothic" w:hAnsi="Century Gothic" w:cs="Tahoma"/>
          <w:b/>
          <w:sz w:val="22"/>
          <w:szCs w:val="22"/>
        </w:rPr>
      </w:pPr>
      <w:r w:rsidRPr="005A0B10">
        <w:rPr>
          <w:rFonts w:ascii="Century Gothic" w:hAnsi="Century Gothic" w:cs="Tahoma"/>
          <w:b/>
          <w:sz w:val="22"/>
          <w:szCs w:val="22"/>
        </w:rPr>
        <w:t xml:space="preserve">                         </w:t>
      </w:r>
      <w:r w:rsidR="00426235" w:rsidRPr="005A0B10">
        <w:rPr>
          <w:rFonts w:ascii="Century Gothic" w:hAnsi="Century Gothic" w:cs="Tahoma"/>
          <w:b/>
          <w:sz w:val="22"/>
          <w:szCs w:val="22"/>
        </w:rPr>
        <w:t xml:space="preserve">      </w:t>
      </w:r>
      <w:r w:rsidR="007E2962" w:rsidRPr="005A0B10">
        <w:rPr>
          <w:rFonts w:ascii="Century Gothic" w:hAnsi="Century Gothic" w:cs="Tahoma"/>
          <w:b/>
          <w:sz w:val="22"/>
          <w:szCs w:val="22"/>
        </w:rPr>
        <w:t>PAÇO MUNICIPAL “29 DE ABRIL”</w:t>
      </w:r>
    </w:p>
    <w:p w:rsidR="00FF2B8D" w:rsidRPr="005A0B10" w:rsidRDefault="002F3AA1" w:rsidP="002F3AA1">
      <w:pPr>
        <w:tabs>
          <w:tab w:val="left" w:pos="1470"/>
          <w:tab w:val="center" w:pos="4394"/>
        </w:tabs>
        <w:autoSpaceDE w:val="0"/>
        <w:autoSpaceDN w:val="0"/>
        <w:adjustRightInd w:val="0"/>
        <w:spacing w:line="360" w:lineRule="auto"/>
        <w:rPr>
          <w:rFonts w:ascii="Century Gothic" w:hAnsi="Century Gothic" w:cs="Tahoma"/>
          <w:sz w:val="22"/>
          <w:szCs w:val="22"/>
        </w:rPr>
      </w:pPr>
      <w:r>
        <w:rPr>
          <w:rFonts w:ascii="Century Gothic" w:hAnsi="Century Gothic" w:cs="Tahoma"/>
          <w:sz w:val="22"/>
          <w:szCs w:val="22"/>
        </w:rPr>
        <w:tab/>
        <w:t xml:space="preserve">        </w:t>
      </w:r>
      <w:r w:rsidR="007E2962" w:rsidRPr="005A0B10">
        <w:rPr>
          <w:rFonts w:ascii="Century Gothic" w:hAnsi="Century Gothic" w:cs="Tahoma"/>
          <w:sz w:val="22"/>
          <w:szCs w:val="22"/>
        </w:rPr>
        <w:t xml:space="preserve">Quarto Centenário, </w:t>
      </w:r>
      <w:r w:rsidR="002032F9">
        <w:rPr>
          <w:rFonts w:ascii="Century Gothic" w:hAnsi="Century Gothic" w:cs="Tahoma"/>
          <w:sz w:val="22"/>
          <w:szCs w:val="22"/>
        </w:rPr>
        <w:t>0</w:t>
      </w:r>
      <w:r w:rsidR="001F4E10">
        <w:rPr>
          <w:rFonts w:ascii="Century Gothic" w:hAnsi="Century Gothic" w:cs="Tahoma"/>
          <w:sz w:val="22"/>
          <w:szCs w:val="22"/>
        </w:rPr>
        <w:t>9</w:t>
      </w:r>
      <w:bookmarkStart w:id="15" w:name="_GoBack"/>
      <w:bookmarkEnd w:id="15"/>
      <w:r w:rsidR="001B13A0">
        <w:rPr>
          <w:rFonts w:ascii="Century Gothic" w:hAnsi="Century Gothic" w:cs="Tahoma"/>
          <w:sz w:val="22"/>
          <w:szCs w:val="22"/>
        </w:rPr>
        <w:t xml:space="preserve"> de </w:t>
      </w:r>
      <w:r w:rsidR="002032F9">
        <w:rPr>
          <w:rFonts w:ascii="Century Gothic" w:hAnsi="Century Gothic" w:cs="Tahoma"/>
          <w:sz w:val="22"/>
          <w:szCs w:val="22"/>
        </w:rPr>
        <w:t xml:space="preserve">junho </w:t>
      </w:r>
      <w:r w:rsidR="007E2962" w:rsidRPr="005A0B10">
        <w:rPr>
          <w:rFonts w:ascii="Century Gothic" w:hAnsi="Century Gothic" w:cs="Tahoma"/>
          <w:sz w:val="22"/>
          <w:szCs w:val="22"/>
        </w:rPr>
        <w:t>de 2021</w:t>
      </w:r>
      <w:r w:rsidR="00352411" w:rsidRPr="005A0B10">
        <w:rPr>
          <w:rFonts w:ascii="Century Gothic" w:hAnsi="Century Gothic" w:cs="Tahoma"/>
          <w:sz w:val="22"/>
          <w:szCs w:val="22"/>
        </w:rPr>
        <w:t>.</w:t>
      </w:r>
    </w:p>
    <w:p w:rsidR="00262BF5" w:rsidRDefault="00262BF5" w:rsidP="005A0B10">
      <w:pPr>
        <w:autoSpaceDE w:val="0"/>
        <w:autoSpaceDN w:val="0"/>
        <w:adjustRightInd w:val="0"/>
        <w:spacing w:line="360" w:lineRule="auto"/>
        <w:jc w:val="center"/>
        <w:rPr>
          <w:rFonts w:ascii="Century Gothic" w:hAnsi="Century Gothic" w:cs="Tahoma"/>
          <w:sz w:val="22"/>
          <w:szCs w:val="22"/>
        </w:rPr>
      </w:pPr>
    </w:p>
    <w:p w:rsidR="00F44808" w:rsidRPr="005A0B10" w:rsidRDefault="00F44808" w:rsidP="005A0B10">
      <w:pPr>
        <w:autoSpaceDE w:val="0"/>
        <w:autoSpaceDN w:val="0"/>
        <w:adjustRightInd w:val="0"/>
        <w:spacing w:line="360" w:lineRule="auto"/>
        <w:jc w:val="center"/>
        <w:rPr>
          <w:rFonts w:ascii="Century Gothic" w:hAnsi="Century Gothic" w:cs="Tahoma"/>
          <w:sz w:val="22"/>
          <w:szCs w:val="22"/>
        </w:rPr>
      </w:pPr>
    </w:p>
    <w:p w:rsidR="007E2962" w:rsidRPr="005A0B10" w:rsidRDefault="00102A78" w:rsidP="005A0B10">
      <w:pPr>
        <w:autoSpaceDE w:val="0"/>
        <w:autoSpaceDN w:val="0"/>
        <w:adjustRightInd w:val="0"/>
        <w:spacing w:line="360" w:lineRule="auto"/>
        <w:jc w:val="center"/>
        <w:rPr>
          <w:rFonts w:ascii="Century Gothic" w:hAnsi="Century Gothic" w:cs="Tahoma"/>
          <w:b/>
          <w:sz w:val="22"/>
          <w:szCs w:val="22"/>
        </w:rPr>
      </w:pPr>
      <w:r w:rsidRPr="005A0B10">
        <w:rPr>
          <w:rFonts w:ascii="Century Gothic" w:hAnsi="Century Gothic" w:cs="Tahoma"/>
          <w:b/>
          <w:sz w:val="22"/>
          <w:szCs w:val="22"/>
        </w:rPr>
        <w:t xml:space="preserve"> </w:t>
      </w:r>
      <w:r w:rsidR="007E2962" w:rsidRPr="005A0B10">
        <w:rPr>
          <w:rFonts w:ascii="Century Gothic" w:hAnsi="Century Gothic" w:cs="Tahoma"/>
          <w:b/>
          <w:sz w:val="22"/>
          <w:szCs w:val="22"/>
        </w:rPr>
        <w:t>Wilson Akio Abe</w:t>
      </w:r>
    </w:p>
    <w:p w:rsidR="00927C67" w:rsidRPr="005A0B10" w:rsidRDefault="007E2962" w:rsidP="005A0B10">
      <w:pPr>
        <w:autoSpaceDE w:val="0"/>
        <w:autoSpaceDN w:val="0"/>
        <w:adjustRightInd w:val="0"/>
        <w:spacing w:line="360" w:lineRule="auto"/>
        <w:jc w:val="center"/>
        <w:rPr>
          <w:rFonts w:ascii="Century Gothic" w:hAnsi="Century Gothic" w:cs="Tahoma"/>
          <w:sz w:val="22"/>
          <w:szCs w:val="22"/>
        </w:rPr>
      </w:pPr>
      <w:r w:rsidRPr="005A0B10">
        <w:rPr>
          <w:rFonts w:ascii="Century Gothic" w:hAnsi="Century Gothic" w:cs="Tahoma"/>
          <w:sz w:val="22"/>
          <w:szCs w:val="22"/>
        </w:rPr>
        <w:t>Prefeito</w:t>
      </w:r>
      <w:r w:rsidR="00FE5519" w:rsidRPr="005A0B10">
        <w:rPr>
          <w:rFonts w:ascii="Century Gothic" w:hAnsi="Century Gothic" w:cs="Tahoma"/>
          <w:sz w:val="22"/>
          <w:szCs w:val="22"/>
        </w:rPr>
        <w:t xml:space="preserve"> Mun</w:t>
      </w:r>
      <w:r w:rsidR="0063340C" w:rsidRPr="005A0B10">
        <w:rPr>
          <w:rFonts w:ascii="Century Gothic" w:hAnsi="Century Gothic" w:cs="Tahoma"/>
          <w:sz w:val="22"/>
          <w:szCs w:val="22"/>
        </w:rPr>
        <w:t>i</w:t>
      </w:r>
      <w:r w:rsidR="00FE5519" w:rsidRPr="005A0B10">
        <w:rPr>
          <w:rFonts w:ascii="Century Gothic" w:hAnsi="Century Gothic" w:cs="Tahoma"/>
          <w:sz w:val="22"/>
          <w:szCs w:val="22"/>
        </w:rPr>
        <w:t>cipal</w:t>
      </w:r>
    </w:p>
    <w:p w:rsidR="00F85864" w:rsidRPr="005A0B10" w:rsidRDefault="00F85864" w:rsidP="005A0B10">
      <w:pPr>
        <w:autoSpaceDE w:val="0"/>
        <w:autoSpaceDN w:val="0"/>
        <w:adjustRightInd w:val="0"/>
        <w:spacing w:line="360" w:lineRule="auto"/>
        <w:jc w:val="center"/>
        <w:rPr>
          <w:rFonts w:ascii="Century Gothic" w:hAnsi="Century Gothic" w:cs="Tahoma"/>
          <w:sz w:val="22"/>
          <w:szCs w:val="22"/>
        </w:rPr>
      </w:pPr>
    </w:p>
    <w:sectPr w:rsidR="00F85864" w:rsidRPr="005A0B10" w:rsidSect="002F6802">
      <w:headerReference w:type="default" r:id="rId9"/>
      <w:footerReference w:type="even" r:id="rId10"/>
      <w:footerReference w:type="default" r:id="rId11"/>
      <w:pgSz w:w="11907" w:h="16840" w:code="9"/>
      <w:pgMar w:top="1701" w:right="1417" w:bottom="720" w:left="1701" w:header="357" w:footer="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13C" w:rsidRDefault="00F5113C" w:rsidP="00786EA7">
      <w:r>
        <w:separator/>
      </w:r>
    </w:p>
  </w:endnote>
  <w:endnote w:type="continuationSeparator" w:id="0">
    <w:p w:rsidR="00F5113C" w:rsidRDefault="00F5113C" w:rsidP="0078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E7" w:rsidRDefault="001927D4" w:rsidP="00FA0A1B">
    <w:pPr>
      <w:pStyle w:val="Rodap"/>
      <w:framePr w:wrap="around" w:vAnchor="text" w:hAnchor="margin" w:xAlign="right" w:y="1"/>
      <w:rPr>
        <w:rStyle w:val="Nmerodepgina"/>
      </w:rPr>
    </w:pPr>
    <w:r>
      <w:rPr>
        <w:rStyle w:val="Nmerodepgina"/>
      </w:rPr>
      <w:fldChar w:fldCharType="begin"/>
    </w:r>
    <w:r w:rsidR="00CE57E7">
      <w:rPr>
        <w:rStyle w:val="Nmerodepgina"/>
      </w:rPr>
      <w:instrText xml:space="preserve">PAGE  </w:instrText>
    </w:r>
    <w:r>
      <w:rPr>
        <w:rStyle w:val="Nmerodepgina"/>
      </w:rPr>
      <w:fldChar w:fldCharType="separate"/>
    </w:r>
    <w:r w:rsidR="00CE57E7">
      <w:rPr>
        <w:rStyle w:val="Nmerodepgina"/>
        <w:noProof/>
      </w:rPr>
      <w:t>1</w:t>
    </w:r>
    <w:r>
      <w:rPr>
        <w:rStyle w:val="Nmerodepgina"/>
      </w:rPr>
      <w:fldChar w:fldCharType="end"/>
    </w:r>
  </w:p>
  <w:p w:rsidR="00CE57E7" w:rsidRDefault="00CE57E7" w:rsidP="00FA0A1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E7" w:rsidRDefault="00CE57E7" w:rsidP="00BF0752">
    <w:pPr>
      <w:pStyle w:val="Rodap"/>
      <w:ind w:right="360"/>
      <w:jc w:val="center"/>
      <w:rPr>
        <w:sz w:val="16"/>
        <w:szCs w:val="16"/>
      </w:rPr>
    </w:pPr>
    <w:r>
      <w:t>_________________________________________________________________</w:t>
    </w:r>
  </w:p>
  <w:p w:rsidR="00CE57E7" w:rsidRPr="002466F7" w:rsidRDefault="00CE57E7" w:rsidP="00BF0752">
    <w:pPr>
      <w:pStyle w:val="Rodap"/>
      <w:jc w:val="center"/>
      <w:rPr>
        <w:sz w:val="16"/>
        <w:szCs w:val="16"/>
      </w:rPr>
    </w:pPr>
    <w:r w:rsidRPr="002466F7">
      <w:rPr>
        <w:sz w:val="16"/>
        <w:szCs w:val="16"/>
      </w:rPr>
      <w:t>PAÇO MUNICIPAL “29 DE ABRIL”</w:t>
    </w:r>
    <w:r>
      <w:rPr>
        <w:sz w:val="16"/>
        <w:szCs w:val="16"/>
      </w:rPr>
      <w:t xml:space="preserve"> - </w:t>
    </w:r>
    <w:r w:rsidRPr="002466F7">
      <w:rPr>
        <w:sz w:val="16"/>
        <w:szCs w:val="16"/>
      </w:rPr>
      <w:t>QUARTO CENTENÁRIO-PR - CEP 87365-000</w:t>
    </w:r>
  </w:p>
  <w:p w:rsidR="00CE57E7" w:rsidRPr="002466F7" w:rsidRDefault="00CE57E7" w:rsidP="00BF0752">
    <w:pPr>
      <w:pStyle w:val="Rodap"/>
      <w:jc w:val="center"/>
      <w:rPr>
        <w:sz w:val="16"/>
        <w:szCs w:val="16"/>
      </w:rPr>
    </w:pPr>
    <w:r w:rsidRPr="002466F7">
      <w:rPr>
        <w:sz w:val="16"/>
        <w:szCs w:val="16"/>
      </w:rPr>
      <w:t xml:space="preserve">Av. </w:t>
    </w:r>
    <w:r>
      <w:rPr>
        <w:sz w:val="16"/>
        <w:szCs w:val="16"/>
      </w:rPr>
      <w:t>Dr. Hemerson Siqueira e Silva</w:t>
    </w:r>
    <w:r w:rsidRPr="002466F7">
      <w:rPr>
        <w:sz w:val="16"/>
        <w:szCs w:val="16"/>
      </w:rPr>
      <w:t>, 594 - fone/fax (44) 3546-1109.</w:t>
    </w:r>
  </w:p>
  <w:p w:rsidR="00CE57E7" w:rsidRPr="002466F7" w:rsidRDefault="001F4E10" w:rsidP="00BF0752">
    <w:pPr>
      <w:pStyle w:val="Rodap"/>
      <w:jc w:val="center"/>
      <w:rPr>
        <w:sz w:val="16"/>
        <w:szCs w:val="16"/>
      </w:rPr>
    </w:pPr>
    <w:hyperlink r:id="rId1" w:history="1">
      <w:r w:rsidR="00CE57E7" w:rsidRPr="002466F7">
        <w:rPr>
          <w:rStyle w:val="Hyperlink"/>
          <w:sz w:val="16"/>
          <w:szCs w:val="16"/>
        </w:rPr>
        <w:t>www.quartocentenario.pr.gov.br</w:t>
      </w:r>
    </w:hyperlink>
  </w:p>
  <w:p w:rsidR="00CE57E7" w:rsidRDefault="00CE57E7" w:rsidP="00FA0A1B">
    <w:pPr>
      <w:pStyle w:val="Rodap"/>
      <w:tabs>
        <w:tab w:val="center" w:pos="-540"/>
        <w:tab w:val="right" w:pos="9720"/>
        <w:tab w:val="right" w:pos="10800"/>
      </w:tabs>
      <w:ind w:left="-720" w:right="-10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13C" w:rsidRDefault="00F5113C" w:rsidP="00786EA7">
      <w:r>
        <w:separator/>
      </w:r>
    </w:p>
  </w:footnote>
  <w:footnote w:type="continuationSeparator" w:id="0">
    <w:p w:rsidR="00F5113C" w:rsidRDefault="00F5113C" w:rsidP="00786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E7" w:rsidRDefault="00CE57E7" w:rsidP="00BF0752">
    <w:pPr>
      <w:pStyle w:val="Cabealho"/>
    </w:pPr>
    <w:r>
      <w:rPr>
        <w:rFonts w:ascii="Tahoma" w:hAnsi="Tahoma" w:cs="Tahoma"/>
        <w:noProof/>
      </w:rPr>
      <w:drawing>
        <wp:anchor distT="0" distB="0" distL="114300" distR="114300" simplePos="0" relativeHeight="251660288" behindDoc="0" locked="0" layoutInCell="1" allowOverlap="1">
          <wp:simplePos x="0" y="0"/>
          <wp:positionH relativeFrom="column">
            <wp:posOffset>-356235</wp:posOffset>
          </wp:positionH>
          <wp:positionV relativeFrom="paragraph">
            <wp:posOffset>11430</wp:posOffset>
          </wp:positionV>
          <wp:extent cx="962025" cy="800100"/>
          <wp:effectExtent l="0" t="0" r="9525" b="0"/>
          <wp:wrapNone/>
          <wp:docPr id="2" name="Imagem 1"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00 LOGO PREF"/>
                  <pic:cNvPicPr>
                    <a:picLocks noChangeAspect="1" noChangeArrowheads="1"/>
                  </pic:cNvPicPr>
                </pic:nvPicPr>
                <pic:blipFill>
                  <a:blip r:embed="rId1"/>
                  <a:srcRect/>
                  <a:stretch>
                    <a:fillRect/>
                  </a:stretch>
                </pic:blipFill>
                <pic:spPr bwMode="auto">
                  <a:xfrm>
                    <a:off x="0" y="0"/>
                    <a:ext cx="962025" cy="800100"/>
                  </a:xfrm>
                  <a:prstGeom prst="rect">
                    <a:avLst/>
                  </a:prstGeom>
                  <a:noFill/>
                  <a:ln w="9525">
                    <a:noFill/>
                    <a:miter lim="800000"/>
                    <a:headEnd/>
                    <a:tailEnd/>
                  </a:ln>
                </pic:spPr>
              </pic:pic>
            </a:graphicData>
          </a:graphic>
        </wp:anchor>
      </w:drawing>
    </w:r>
  </w:p>
  <w:p w:rsidR="00CE57E7" w:rsidRPr="009C4D6F" w:rsidRDefault="00CE57E7" w:rsidP="00BF0752">
    <w:pPr>
      <w:ind w:left="-180" w:right="-288"/>
      <w:jc w:val="center"/>
      <w:rPr>
        <w:rFonts w:ascii="Century Gothic" w:hAnsi="Century Gothic"/>
        <w:bCs/>
        <w:spacing w:val="32"/>
        <w:sz w:val="2"/>
        <w:szCs w:val="2"/>
      </w:rPr>
    </w:pPr>
  </w:p>
  <w:p w:rsidR="00CE57E7" w:rsidRDefault="00CE57E7" w:rsidP="00BF0752">
    <w:pPr>
      <w:ind w:left="-181" w:right="-289"/>
      <w:jc w:val="center"/>
      <w:rPr>
        <w:rFonts w:ascii="Tahoma" w:hAnsi="Tahoma" w:cs="Tahoma"/>
        <w:bCs/>
      </w:rPr>
    </w:pPr>
    <w:r w:rsidRPr="005438FA">
      <w:rPr>
        <w:rFonts w:ascii="Tahoma" w:hAnsi="Tahoma" w:cs="Tahoma"/>
        <w:b/>
        <w:bCs/>
        <w:spacing w:val="32"/>
        <w:sz w:val="32"/>
        <w:szCs w:val="32"/>
        <w:u w:val="single"/>
      </w:rPr>
      <w:t>MUNICÍPIO DE QUARTO CENTENÁRIO</w:t>
    </w:r>
  </w:p>
  <w:p w:rsidR="00CE57E7" w:rsidRDefault="00CE57E7" w:rsidP="00BF0752">
    <w:pPr>
      <w:ind w:left="-181" w:right="-289"/>
      <w:jc w:val="center"/>
      <w:rPr>
        <w:rFonts w:ascii="Tahoma" w:hAnsi="Tahoma" w:cs="Tahoma"/>
      </w:rPr>
    </w:pPr>
    <w:r w:rsidRPr="002136A8">
      <w:rPr>
        <w:rFonts w:ascii="Tahoma" w:hAnsi="Tahoma" w:cs="Tahoma"/>
      </w:rPr>
      <w:t xml:space="preserve">ESTADO DO PARANÁ </w:t>
    </w:r>
  </w:p>
  <w:p w:rsidR="00CE57E7" w:rsidRPr="00103ED6" w:rsidRDefault="00CE57E7" w:rsidP="006D1B20">
    <w:pPr>
      <w:ind w:left="-181" w:right="-289"/>
      <w:jc w:val="center"/>
    </w:pPr>
    <w:r w:rsidRPr="002136A8">
      <w:rPr>
        <w:rFonts w:ascii="Tahoma" w:hAnsi="Tahoma" w:cs="Tahoma"/>
      </w:rPr>
      <w:t xml:space="preserve"> CNPJ: 01.619.104/0001-41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DB3"/>
    <w:multiLevelType w:val="hybridMultilevel"/>
    <w:tmpl w:val="DF0ECCFC"/>
    <w:lvl w:ilvl="0" w:tplc="F500A1D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37D3E4C"/>
    <w:multiLevelType w:val="hybridMultilevel"/>
    <w:tmpl w:val="D4DEDCC4"/>
    <w:lvl w:ilvl="0" w:tplc="FF24D046">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39855777"/>
    <w:multiLevelType w:val="hybridMultilevel"/>
    <w:tmpl w:val="5100C462"/>
    <w:lvl w:ilvl="0" w:tplc="4F4C7BAE">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4858122D"/>
    <w:multiLevelType w:val="hybridMultilevel"/>
    <w:tmpl w:val="53B6E4D2"/>
    <w:lvl w:ilvl="0" w:tplc="539033E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5BD67D63"/>
    <w:multiLevelType w:val="hybridMultilevel"/>
    <w:tmpl w:val="706C4B60"/>
    <w:lvl w:ilvl="0" w:tplc="4EF6C77C">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62DA12A6"/>
    <w:multiLevelType w:val="hybridMultilevel"/>
    <w:tmpl w:val="06487798"/>
    <w:lvl w:ilvl="0" w:tplc="28EC47DA">
      <w:start w:val="1"/>
      <w:numFmt w:val="decimal"/>
      <w:lvlText w:val="%1."/>
      <w:lvlJc w:val="left"/>
      <w:pPr>
        <w:tabs>
          <w:tab w:val="num" w:pos="1160"/>
        </w:tabs>
        <w:ind w:left="1160" w:hanging="450"/>
      </w:pPr>
      <w:rPr>
        <w:rFonts w:hint="default"/>
      </w:rPr>
    </w:lvl>
    <w:lvl w:ilvl="1" w:tplc="5F129594">
      <w:start w:val="6"/>
      <w:numFmt w:val="decimal"/>
      <w:lvlText w:val="%2."/>
      <w:lvlJc w:val="left"/>
      <w:pPr>
        <w:tabs>
          <w:tab w:val="num" w:pos="1785"/>
        </w:tabs>
        <w:ind w:left="1785" w:hanging="36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75510"/>
    <w:rsid w:val="00002226"/>
    <w:rsid w:val="0000256A"/>
    <w:rsid w:val="00002F47"/>
    <w:rsid w:val="00003032"/>
    <w:rsid w:val="00005900"/>
    <w:rsid w:val="00012822"/>
    <w:rsid w:val="00024E9B"/>
    <w:rsid w:val="00024F14"/>
    <w:rsid w:val="00027CA5"/>
    <w:rsid w:val="0003021C"/>
    <w:rsid w:val="0003372B"/>
    <w:rsid w:val="00033F4A"/>
    <w:rsid w:val="00040E00"/>
    <w:rsid w:val="00041441"/>
    <w:rsid w:val="00042AE2"/>
    <w:rsid w:val="00046DAC"/>
    <w:rsid w:val="00072C30"/>
    <w:rsid w:val="00074D45"/>
    <w:rsid w:val="000757D8"/>
    <w:rsid w:val="00080D41"/>
    <w:rsid w:val="00085BC8"/>
    <w:rsid w:val="000925D8"/>
    <w:rsid w:val="000940A8"/>
    <w:rsid w:val="000941BC"/>
    <w:rsid w:val="00094BE7"/>
    <w:rsid w:val="000B20D2"/>
    <w:rsid w:val="000B4655"/>
    <w:rsid w:val="000B4EBF"/>
    <w:rsid w:val="000B5744"/>
    <w:rsid w:val="000C5268"/>
    <w:rsid w:val="000D735B"/>
    <w:rsid w:val="000F5E06"/>
    <w:rsid w:val="000F77E2"/>
    <w:rsid w:val="00101C25"/>
    <w:rsid w:val="00102A78"/>
    <w:rsid w:val="00103438"/>
    <w:rsid w:val="00104973"/>
    <w:rsid w:val="00116F89"/>
    <w:rsid w:val="00120A28"/>
    <w:rsid w:val="00122249"/>
    <w:rsid w:val="00123C1E"/>
    <w:rsid w:val="00123D41"/>
    <w:rsid w:val="00137D70"/>
    <w:rsid w:val="00144AC7"/>
    <w:rsid w:val="00151C74"/>
    <w:rsid w:val="0015636D"/>
    <w:rsid w:val="001640C7"/>
    <w:rsid w:val="00177ECA"/>
    <w:rsid w:val="0018684B"/>
    <w:rsid w:val="001927D4"/>
    <w:rsid w:val="00194616"/>
    <w:rsid w:val="001B13A0"/>
    <w:rsid w:val="001C7925"/>
    <w:rsid w:val="001D1DCD"/>
    <w:rsid w:val="001D2B14"/>
    <w:rsid w:val="001D76DD"/>
    <w:rsid w:val="001E02D4"/>
    <w:rsid w:val="001E4912"/>
    <w:rsid w:val="001F4E10"/>
    <w:rsid w:val="001F56F0"/>
    <w:rsid w:val="002032F9"/>
    <w:rsid w:val="0020419A"/>
    <w:rsid w:val="002057C2"/>
    <w:rsid w:val="0020789B"/>
    <w:rsid w:val="002139F4"/>
    <w:rsid w:val="002170E2"/>
    <w:rsid w:val="002228FE"/>
    <w:rsid w:val="002321B4"/>
    <w:rsid w:val="00236D6E"/>
    <w:rsid w:val="0023751A"/>
    <w:rsid w:val="002430D2"/>
    <w:rsid w:val="00250FD7"/>
    <w:rsid w:val="00260BE0"/>
    <w:rsid w:val="00262BF5"/>
    <w:rsid w:val="00263369"/>
    <w:rsid w:val="0026443B"/>
    <w:rsid w:val="002768FD"/>
    <w:rsid w:val="00283F27"/>
    <w:rsid w:val="0029679B"/>
    <w:rsid w:val="002A4DA5"/>
    <w:rsid w:val="002D196C"/>
    <w:rsid w:val="002D5935"/>
    <w:rsid w:val="002E1436"/>
    <w:rsid w:val="002E7510"/>
    <w:rsid w:val="002F3AA1"/>
    <w:rsid w:val="002F6802"/>
    <w:rsid w:val="002F7450"/>
    <w:rsid w:val="003047A4"/>
    <w:rsid w:val="00304DEB"/>
    <w:rsid w:val="00312A93"/>
    <w:rsid w:val="003134CD"/>
    <w:rsid w:val="00333439"/>
    <w:rsid w:val="00335EE8"/>
    <w:rsid w:val="0034345F"/>
    <w:rsid w:val="00352337"/>
    <w:rsid w:val="00352411"/>
    <w:rsid w:val="00366A9D"/>
    <w:rsid w:val="00372B2B"/>
    <w:rsid w:val="00390D66"/>
    <w:rsid w:val="00391ECF"/>
    <w:rsid w:val="003934C3"/>
    <w:rsid w:val="003A4557"/>
    <w:rsid w:val="003B0449"/>
    <w:rsid w:val="003B3FA7"/>
    <w:rsid w:val="003B5801"/>
    <w:rsid w:val="003B7573"/>
    <w:rsid w:val="003C207C"/>
    <w:rsid w:val="003D50A6"/>
    <w:rsid w:val="003E59C3"/>
    <w:rsid w:val="003E6758"/>
    <w:rsid w:val="004231C9"/>
    <w:rsid w:val="00426235"/>
    <w:rsid w:val="004321F2"/>
    <w:rsid w:val="00443C6A"/>
    <w:rsid w:val="004607EA"/>
    <w:rsid w:val="00470610"/>
    <w:rsid w:val="00474AB8"/>
    <w:rsid w:val="00475281"/>
    <w:rsid w:val="00476F64"/>
    <w:rsid w:val="00486B50"/>
    <w:rsid w:val="00486DC6"/>
    <w:rsid w:val="0049390F"/>
    <w:rsid w:val="0049582C"/>
    <w:rsid w:val="004A18F2"/>
    <w:rsid w:val="004A4D46"/>
    <w:rsid w:val="004A57EE"/>
    <w:rsid w:val="004A588A"/>
    <w:rsid w:val="004A7909"/>
    <w:rsid w:val="004B1205"/>
    <w:rsid w:val="004B473D"/>
    <w:rsid w:val="004B4DD1"/>
    <w:rsid w:val="004B5D86"/>
    <w:rsid w:val="004C2D41"/>
    <w:rsid w:val="004C4267"/>
    <w:rsid w:val="004D0D9A"/>
    <w:rsid w:val="004D627A"/>
    <w:rsid w:val="004E308F"/>
    <w:rsid w:val="004F2867"/>
    <w:rsid w:val="004F4B8F"/>
    <w:rsid w:val="0050126E"/>
    <w:rsid w:val="00501589"/>
    <w:rsid w:val="00510605"/>
    <w:rsid w:val="005176CF"/>
    <w:rsid w:val="0052248A"/>
    <w:rsid w:val="0053175A"/>
    <w:rsid w:val="005350EC"/>
    <w:rsid w:val="005355CF"/>
    <w:rsid w:val="00536397"/>
    <w:rsid w:val="00540F71"/>
    <w:rsid w:val="005420FB"/>
    <w:rsid w:val="00556916"/>
    <w:rsid w:val="00560FAF"/>
    <w:rsid w:val="00563C4E"/>
    <w:rsid w:val="00567526"/>
    <w:rsid w:val="005679B1"/>
    <w:rsid w:val="00582380"/>
    <w:rsid w:val="00582761"/>
    <w:rsid w:val="00585149"/>
    <w:rsid w:val="00586260"/>
    <w:rsid w:val="00591E89"/>
    <w:rsid w:val="00594CF5"/>
    <w:rsid w:val="005A0B10"/>
    <w:rsid w:val="005A1876"/>
    <w:rsid w:val="005A27D7"/>
    <w:rsid w:val="005A5726"/>
    <w:rsid w:val="005B0AF4"/>
    <w:rsid w:val="005B1D4B"/>
    <w:rsid w:val="005C169D"/>
    <w:rsid w:val="005D5BBF"/>
    <w:rsid w:val="005E7012"/>
    <w:rsid w:val="005F1D4C"/>
    <w:rsid w:val="005F7F6D"/>
    <w:rsid w:val="006001F1"/>
    <w:rsid w:val="00605B85"/>
    <w:rsid w:val="00605E94"/>
    <w:rsid w:val="00611EC0"/>
    <w:rsid w:val="006167BD"/>
    <w:rsid w:val="00621A7F"/>
    <w:rsid w:val="00622479"/>
    <w:rsid w:val="0063202C"/>
    <w:rsid w:val="0063340C"/>
    <w:rsid w:val="00643259"/>
    <w:rsid w:val="00653FA8"/>
    <w:rsid w:val="00654D5B"/>
    <w:rsid w:val="00671874"/>
    <w:rsid w:val="00682094"/>
    <w:rsid w:val="006829CD"/>
    <w:rsid w:val="00683E7B"/>
    <w:rsid w:val="006863EC"/>
    <w:rsid w:val="00693DD2"/>
    <w:rsid w:val="006941F2"/>
    <w:rsid w:val="006957A8"/>
    <w:rsid w:val="006A256F"/>
    <w:rsid w:val="006B5BF0"/>
    <w:rsid w:val="006B7CBB"/>
    <w:rsid w:val="006C3C16"/>
    <w:rsid w:val="006C4156"/>
    <w:rsid w:val="006D0FA8"/>
    <w:rsid w:val="006D116E"/>
    <w:rsid w:val="006D1B20"/>
    <w:rsid w:val="006D3888"/>
    <w:rsid w:val="006F2C6F"/>
    <w:rsid w:val="00701D4B"/>
    <w:rsid w:val="007023E7"/>
    <w:rsid w:val="007217C7"/>
    <w:rsid w:val="00723BCC"/>
    <w:rsid w:val="00727D59"/>
    <w:rsid w:val="00736A69"/>
    <w:rsid w:val="00741BE0"/>
    <w:rsid w:val="00746061"/>
    <w:rsid w:val="007618A3"/>
    <w:rsid w:val="00761C44"/>
    <w:rsid w:val="00762E0C"/>
    <w:rsid w:val="007633DE"/>
    <w:rsid w:val="00771271"/>
    <w:rsid w:val="00786EA7"/>
    <w:rsid w:val="00787667"/>
    <w:rsid w:val="00794536"/>
    <w:rsid w:val="00796D38"/>
    <w:rsid w:val="007B1E6C"/>
    <w:rsid w:val="007C68D6"/>
    <w:rsid w:val="007C6FE2"/>
    <w:rsid w:val="007E2962"/>
    <w:rsid w:val="007F219B"/>
    <w:rsid w:val="007F6CCF"/>
    <w:rsid w:val="008004A5"/>
    <w:rsid w:val="00812533"/>
    <w:rsid w:val="008203FC"/>
    <w:rsid w:val="00825BFE"/>
    <w:rsid w:val="00826EDB"/>
    <w:rsid w:val="00831DDA"/>
    <w:rsid w:val="008424D0"/>
    <w:rsid w:val="008513CF"/>
    <w:rsid w:val="00854B4B"/>
    <w:rsid w:val="00857AD2"/>
    <w:rsid w:val="0086078B"/>
    <w:rsid w:val="00863C55"/>
    <w:rsid w:val="00864E45"/>
    <w:rsid w:val="008665B8"/>
    <w:rsid w:val="00873D87"/>
    <w:rsid w:val="00890568"/>
    <w:rsid w:val="00891BE2"/>
    <w:rsid w:val="008932C7"/>
    <w:rsid w:val="00893323"/>
    <w:rsid w:val="00895093"/>
    <w:rsid w:val="008A0669"/>
    <w:rsid w:val="008A22E8"/>
    <w:rsid w:val="008A72B4"/>
    <w:rsid w:val="008B65FA"/>
    <w:rsid w:val="008C0E01"/>
    <w:rsid w:val="008C212E"/>
    <w:rsid w:val="008D4DB3"/>
    <w:rsid w:val="00912F47"/>
    <w:rsid w:val="00924B4F"/>
    <w:rsid w:val="00927B02"/>
    <w:rsid w:val="00927C67"/>
    <w:rsid w:val="0093507F"/>
    <w:rsid w:val="0094395E"/>
    <w:rsid w:val="00962278"/>
    <w:rsid w:val="0097434F"/>
    <w:rsid w:val="00992F54"/>
    <w:rsid w:val="00995E16"/>
    <w:rsid w:val="009A7E83"/>
    <w:rsid w:val="009B7288"/>
    <w:rsid w:val="009C6C42"/>
    <w:rsid w:val="009C7E21"/>
    <w:rsid w:val="009D00CE"/>
    <w:rsid w:val="009D0A39"/>
    <w:rsid w:val="009D6BB5"/>
    <w:rsid w:val="009E10C7"/>
    <w:rsid w:val="00A05B04"/>
    <w:rsid w:val="00A15BE3"/>
    <w:rsid w:val="00A246BF"/>
    <w:rsid w:val="00A31BB3"/>
    <w:rsid w:val="00A31F5E"/>
    <w:rsid w:val="00A40BF0"/>
    <w:rsid w:val="00A440B7"/>
    <w:rsid w:val="00A443F9"/>
    <w:rsid w:val="00A46B97"/>
    <w:rsid w:val="00A503EA"/>
    <w:rsid w:val="00A53969"/>
    <w:rsid w:val="00A62796"/>
    <w:rsid w:val="00A66AD7"/>
    <w:rsid w:val="00A6783F"/>
    <w:rsid w:val="00A860CB"/>
    <w:rsid w:val="00A947D2"/>
    <w:rsid w:val="00A95B70"/>
    <w:rsid w:val="00A97948"/>
    <w:rsid w:val="00A97A64"/>
    <w:rsid w:val="00AA11B5"/>
    <w:rsid w:val="00AA3D66"/>
    <w:rsid w:val="00AA4295"/>
    <w:rsid w:val="00AA445A"/>
    <w:rsid w:val="00AA6C0A"/>
    <w:rsid w:val="00AB5D22"/>
    <w:rsid w:val="00AD74A5"/>
    <w:rsid w:val="00AE7E14"/>
    <w:rsid w:val="00AF1542"/>
    <w:rsid w:val="00AF27DB"/>
    <w:rsid w:val="00AF2E9C"/>
    <w:rsid w:val="00B063E6"/>
    <w:rsid w:val="00B142B2"/>
    <w:rsid w:val="00B160BC"/>
    <w:rsid w:val="00B17ADC"/>
    <w:rsid w:val="00B22AE8"/>
    <w:rsid w:val="00B25152"/>
    <w:rsid w:val="00B273B9"/>
    <w:rsid w:val="00B33FD6"/>
    <w:rsid w:val="00B34575"/>
    <w:rsid w:val="00B472B3"/>
    <w:rsid w:val="00B479FB"/>
    <w:rsid w:val="00B57127"/>
    <w:rsid w:val="00B66036"/>
    <w:rsid w:val="00B82E9F"/>
    <w:rsid w:val="00B869D2"/>
    <w:rsid w:val="00B878F3"/>
    <w:rsid w:val="00B927FD"/>
    <w:rsid w:val="00BA539E"/>
    <w:rsid w:val="00BB0B37"/>
    <w:rsid w:val="00BB13E3"/>
    <w:rsid w:val="00BC0E52"/>
    <w:rsid w:val="00BD56C5"/>
    <w:rsid w:val="00BE0381"/>
    <w:rsid w:val="00BF0752"/>
    <w:rsid w:val="00BF2811"/>
    <w:rsid w:val="00C06085"/>
    <w:rsid w:val="00C13006"/>
    <w:rsid w:val="00C17438"/>
    <w:rsid w:val="00C32BD4"/>
    <w:rsid w:val="00C41712"/>
    <w:rsid w:val="00C464BD"/>
    <w:rsid w:val="00C4653F"/>
    <w:rsid w:val="00C509E0"/>
    <w:rsid w:val="00C5636E"/>
    <w:rsid w:val="00C63789"/>
    <w:rsid w:val="00C63E15"/>
    <w:rsid w:val="00C66EA4"/>
    <w:rsid w:val="00C74B75"/>
    <w:rsid w:val="00CB79F1"/>
    <w:rsid w:val="00CC2E00"/>
    <w:rsid w:val="00CC42C4"/>
    <w:rsid w:val="00CD0338"/>
    <w:rsid w:val="00CD2C57"/>
    <w:rsid w:val="00CE57E7"/>
    <w:rsid w:val="00D016A5"/>
    <w:rsid w:val="00D05880"/>
    <w:rsid w:val="00D10444"/>
    <w:rsid w:val="00D172C8"/>
    <w:rsid w:val="00D2000C"/>
    <w:rsid w:val="00D3575C"/>
    <w:rsid w:val="00D35F5D"/>
    <w:rsid w:val="00D451B0"/>
    <w:rsid w:val="00D45F5D"/>
    <w:rsid w:val="00D51B51"/>
    <w:rsid w:val="00D53A93"/>
    <w:rsid w:val="00D66ECD"/>
    <w:rsid w:val="00D934FE"/>
    <w:rsid w:val="00D935FF"/>
    <w:rsid w:val="00D93CA3"/>
    <w:rsid w:val="00D93CD7"/>
    <w:rsid w:val="00D95687"/>
    <w:rsid w:val="00D96142"/>
    <w:rsid w:val="00DA0319"/>
    <w:rsid w:val="00DA1829"/>
    <w:rsid w:val="00DB2CA4"/>
    <w:rsid w:val="00DB537A"/>
    <w:rsid w:val="00DD583E"/>
    <w:rsid w:val="00DE3542"/>
    <w:rsid w:val="00DE6FB9"/>
    <w:rsid w:val="00DF1BF5"/>
    <w:rsid w:val="00E11A51"/>
    <w:rsid w:val="00E14F95"/>
    <w:rsid w:val="00E15DC7"/>
    <w:rsid w:val="00E37412"/>
    <w:rsid w:val="00E42A1C"/>
    <w:rsid w:val="00E4532D"/>
    <w:rsid w:val="00E52270"/>
    <w:rsid w:val="00E76252"/>
    <w:rsid w:val="00E77A37"/>
    <w:rsid w:val="00E87E5E"/>
    <w:rsid w:val="00EB6663"/>
    <w:rsid w:val="00EC3987"/>
    <w:rsid w:val="00EC7655"/>
    <w:rsid w:val="00ED3294"/>
    <w:rsid w:val="00ED753A"/>
    <w:rsid w:val="00F00449"/>
    <w:rsid w:val="00F217E0"/>
    <w:rsid w:val="00F236B8"/>
    <w:rsid w:val="00F241E0"/>
    <w:rsid w:val="00F25967"/>
    <w:rsid w:val="00F27FA0"/>
    <w:rsid w:val="00F40C0E"/>
    <w:rsid w:val="00F44808"/>
    <w:rsid w:val="00F4752A"/>
    <w:rsid w:val="00F47981"/>
    <w:rsid w:val="00F503D4"/>
    <w:rsid w:val="00F510CE"/>
    <w:rsid w:val="00F5113C"/>
    <w:rsid w:val="00F541A5"/>
    <w:rsid w:val="00F553EC"/>
    <w:rsid w:val="00F57A28"/>
    <w:rsid w:val="00F66DAB"/>
    <w:rsid w:val="00F7206C"/>
    <w:rsid w:val="00F734C4"/>
    <w:rsid w:val="00F74BFF"/>
    <w:rsid w:val="00F75510"/>
    <w:rsid w:val="00F85864"/>
    <w:rsid w:val="00F90F23"/>
    <w:rsid w:val="00F96404"/>
    <w:rsid w:val="00FA0A1B"/>
    <w:rsid w:val="00FA7FAC"/>
    <w:rsid w:val="00FC07D7"/>
    <w:rsid w:val="00FD0CA8"/>
    <w:rsid w:val="00FE1942"/>
    <w:rsid w:val="00FE2158"/>
    <w:rsid w:val="00FE5519"/>
    <w:rsid w:val="00FF01C4"/>
    <w:rsid w:val="00FF2B8D"/>
    <w:rsid w:val="00FF78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left="28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10"/>
    <w:pPr>
      <w:ind w:left="0"/>
      <w:jc w:val="left"/>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75510"/>
    <w:pPr>
      <w:spacing w:after="120"/>
    </w:pPr>
  </w:style>
  <w:style w:type="character" w:customStyle="1" w:styleId="CorpodetextoChar">
    <w:name w:val="Corpo de texto Char"/>
    <w:basedOn w:val="Fontepargpadro"/>
    <w:link w:val="Corpodetexto"/>
    <w:rsid w:val="00F75510"/>
    <w:rPr>
      <w:rFonts w:ascii="Times New Roman" w:eastAsia="MS Mincho" w:hAnsi="Times New Roman" w:cs="Times New Roman"/>
      <w:sz w:val="24"/>
      <w:szCs w:val="24"/>
      <w:lang w:eastAsia="pt-BR"/>
    </w:rPr>
  </w:style>
  <w:style w:type="paragraph" w:styleId="Rodap">
    <w:name w:val="footer"/>
    <w:basedOn w:val="Normal"/>
    <w:link w:val="RodapChar"/>
    <w:rsid w:val="00F75510"/>
    <w:pPr>
      <w:tabs>
        <w:tab w:val="center" w:pos="4252"/>
        <w:tab w:val="right" w:pos="8504"/>
      </w:tabs>
    </w:pPr>
  </w:style>
  <w:style w:type="character" w:customStyle="1" w:styleId="RodapChar">
    <w:name w:val="Rodapé Char"/>
    <w:basedOn w:val="Fontepargpadro"/>
    <w:link w:val="Rodap"/>
    <w:rsid w:val="00F75510"/>
    <w:rPr>
      <w:rFonts w:ascii="Times New Roman" w:eastAsia="MS Mincho" w:hAnsi="Times New Roman" w:cs="Times New Roman"/>
      <w:sz w:val="24"/>
      <w:szCs w:val="24"/>
      <w:lang w:eastAsia="pt-BR"/>
    </w:rPr>
  </w:style>
  <w:style w:type="character" w:styleId="Nmerodepgina">
    <w:name w:val="page number"/>
    <w:basedOn w:val="Fontepargpadro"/>
    <w:rsid w:val="00F75510"/>
  </w:style>
  <w:style w:type="paragraph" w:styleId="Cabealho">
    <w:name w:val="header"/>
    <w:basedOn w:val="Normal"/>
    <w:link w:val="CabealhoChar"/>
    <w:uiPriority w:val="99"/>
    <w:rsid w:val="00F75510"/>
    <w:pPr>
      <w:tabs>
        <w:tab w:val="center" w:pos="4252"/>
        <w:tab w:val="right" w:pos="8504"/>
      </w:tabs>
    </w:pPr>
  </w:style>
  <w:style w:type="character" w:customStyle="1" w:styleId="CabealhoChar">
    <w:name w:val="Cabeçalho Char"/>
    <w:basedOn w:val="Fontepargpadro"/>
    <w:link w:val="Cabealho"/>
    <w:uiPriority w:val="99"/>
    <w:rsid w:val="00F75510"/>
    <w:rPr>
      <w:rFonts w:ascii="Times New Roman" w:eastAsia="MS Mincho" w:hAnsi="Times New Roman" w:cs="Times New Roman"/>
      <w:sz w:val="24"/>
      <w:szCs w:val="24"/>
      <w:lang w:eastAsia="pt-BR"/>
    </w:rPr>
  </w:style>
  <w:style w:type="character" w:styleId="Hyperlink">
    <w:name w:val="Hyperlink"/>
    <w:basedOn w:val="Fontepargpadro"/>
    <w:uiPriority w:val="99"/>
    <w:rsid w:val="00F75510"/>
    <w:rPr>
      <w:color w:val="0000FF"/>
      <w:u w:val="single"/>
    </w:rPr>
  </w:style>
  <w:style w:type="paragraph" w:styleId="Corpodetexto2">
    <w:name w:val="Body Text 2"/>
    <w:basedOn w:val="Normal"/>
    <w:link w:val="Corpodetexto2Char"/>
    <w:rsid w:val="00F75510"/>
    <w:pPr>
      <w:spacing w:after="120" w:line="480" w:lineRule="auto"/>
    </w:pPr>
  </w:style>
  <w:style w:type="character" w:customStyle="1" w:styleId="Corpodetexto2Char">
    <w:name w:val="Corpo de texto 2 Char"/>
    <w:basedOn w:val="Fontepargpadro"/>
    <w:link w:val="Corpodetexto2"/>
    <w:rsid w:val="00F75510"/>
    <w:rPr>
      <w:rFonts w:ascii="Times New Roman" w:eastAsia="MS Mincho" w:hAnsi="Times New Roman" w:cs="Times New Roman"/>
      <w:sz w:val="24"/>
      <w:szCs w:val="24"/>
      <w:lang w:eastAsia="pt-BR"/>
    </w:rPr>
  </w:style>
  <w:style w:type="character" w:customStyle="1" w:styleId="apple-converted-space">
    <w:name w:val="apple-converted-space"/>
    <w:basedOn w:val="Fontepargpadro"/>
    <w:rsid w:val="00F75510"/>
  </w:style>
  <w:style w:type="paragraph" w:styleId="Ttulo">
    <w:name w:val="Title"/>
    <w:basedOn w:val="Normal"/>
    <w:next w:val="Normal"/>
    <w:link w:val="TtuloChar"/>
    <w:qFormat/>
    <w:rsid w:val="003934C3"/>
    <w:pPr>
      <w:suppressAutoHyphens/>
      <w:jc w:val="center"/>
    </w:pPr>
    <w:rPr>
      <w:b/>
      <w:sz w:val="28"/>
      <w:szCs w:val="20"/>
      <w:lang w:eastAsia="ar-SA"/>
    </w:rPr>
  </w:style>
  <w:style w:type="character" w:customStyle="1" w:styleId="TtuloChar">
    <w:name w:val="Título Char"/>
    <w:basedOn w:val="Fontepargpadro"/>
    <w:link w:val="Ttulo"/>
    <w:rsid w:val="003934C3"/>
    <w:rPr>
      <w:rFonts w:ascii="Times New Roman" w:eastAsia="MS Mincho" w:hAnsi="Times New Roman" w:cs="Times New Roman"/>
      <w:b/>
      <w:sz w:val="28"/>
      <w:szCs w:val="20"/>
      <w:lang w:eastAsia="ar-SA"/>
    </w:rPr>
  </w:style>
  <w:style w:type="paragraph" w:styleId="Subttulo">
    <w:name w:val="Subtitle"/>
    <w:basedOn w:val="Normal"/>
    <w:next w:val="Normal"/>
    <w:link w:val="SubttuloChar"/>
    <w:uiPriority w:val="11"/>
    <w:qFormat/>
    <w:rsid w:val="003934C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3934C3"/>
    <w:rPr>
      <w:rFonts w:asciiTheme="majorHAnsi" w:eastAsiaTheme="majorEastAsia" w:hAnsiTheme="majorHAnsi" w:cstheme="majorBidi"/>
      <w:i/>
      <w:iCs/>
      <w:color w:val="4F81BD" w:themeColor="accent1"/>
      <w:spacing w:val="15"/>
      <w:sz w:val="24"/>
      <w:szCs w:val="24"/>
      <w:lang w:eastAsia="pt-BR"/>
    </w:rPr>
  </w:style>
  <w:style w:type="character" w:customStyle="1" w:styleId="Caracteresdenotaderodap">
    <w:name w:val="Caracteres de nota de rodapé"/>
    <w:rsid w:val="00B160BC"/>
  </w:style>
  <w:style w:type="character" w:customStyle="1" w:styleId="Refdenotaderodap1">
    <w:name w:val="Ref. de nota de rodapé1"/>
    <w:rsid w:val="00B160BC"/>
    <w:rPr>
      <w:vertAlign w:val="superscript"/>
    </w:rPr>
  </w:style>
  <w:style w:type="paragraph" w:styleId="Textodenotaderodap">
    <w:name w:val="footnote text"/>
    <w:basedOn w:val="Normal"/>
    <w:link w:val="TextodenotaderodapChar"/>
    <w:rsid w:val="00B160BC"/>
    <w:pPr>
      <w:suppressLineNumbers/>
      <w:suppressAutoHyphens/>
      <w:ind w:left="339" w:hanging="339"/>
    </w:pPr>
    <w:rPr>
      <w:rFonts w:eastAsia="Times New Roman"/>
      <w:sz w:val="20"/>
      <w:szCs w:val="20"/>
      <w:lang w:eastAsia="zh-CN"/>
    </w:rPr>
  </w:style>
  <w:style w:type="character" w:customStyle="1" w:styleId="TextodenotaderodapChar">
    <w:name w:val="Texto de nota de rodapé Char"/>
    <w:basedOn w:val="Fontepargpadro"/>
    <w:link w:val="Textodenotaderodap"/>
    <w:rsid w:val="00B160BC"/>
    <w:rPr>
      <w:rFonts w:ascii="Times New Roman" w:eastAsia="Times New Roman" w:hAnsi="Times New Roman" w:cs="Times New Roman"/>
      <w:sz w:val="20"/>
      <w:szCs w:val="20"/>
      <w:lang w:eastAsia="zh-CN"/>
    </w:rPr>
  </w:style>
  <w:style w:type="character" w:styleId="Refdenotaderodap">
    <w:name w:val="footnote reference"/>
    <w:basedOn w:val="Fontepargpadro"/>
    <w:uiPriority w:val="99"/>
    <w:semiHidden/>
    <w:unhideWhenUsed/>
    <w:rsid w:val="00EB6663"/>
    <w:rPr>
      <w:vertAlign w:val="superscript"/>
    </w:rPr>
  </w:style>
  <w:style w:type="paragraph" w:styleId="PargrafodaLista">
    <w:name w:val="List Paragraph"/>
    <w:basedOn w:val="Normal"/>
    <w:uiPriority w:val="1"/>
    <w:qFormat/>
    <w:rsid w:val="00F734C4"/>
    <w:pPr>
      <w:ind w:left="720"/>
      <w:contextualSpacing/>
    </w:pPr>
  </w:style>
  <w:style w:type="paragraph" w:styleId="NormalWeb">
    <w:name w:val="Normal (Web)"/>
    <w:basedOn w:val="Normal"/>
    <w:uiPriority w:val="99"/>
    <w:semiHidden/>
    <w:unhideWhenUsed/>
    <w:rsid w:val="003B757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left="28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10"/>
    <w:pPr>
      <w:ind w:left="0"/>
      <w:jc w:val="left"/>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75510"/>
    <w:pPr>
      <w:spacing w:after="120"/>
    </w:pPr>
  </w:style>
  <w:style w:type="character" w:customStyle="1" w:styleId="CorpodetextoChar">
    <w:name w:val="Corpo de texto Char"/>
    <w:basedOn w:val="Fontepargpadro"/>
    <w:link w:val="Corpodetexto"/>
    <w:rsid w:val="00F75510"/>
    <w:rPr>
      <w:rFonts w:ascii="Times New Roman" w:eastAsia="MS Mincho" w:hAnsi="Times New Roman" w:cs="Times New Roman"/>
      <w:sz w:val="24"/>
      <w:szCs w:val="24"/>
      <w:lang w:eastAsia="pt-BR"/>
    </w:rPr>
  </w:style>
  <w:style w:type="paragraph" w:styleId="Rodap">
    <w:name w:val="footer"/>
    <w:basedOn w:val="Normal"/>
    <w:link w:val="RodapChar"/>
    <w:rsid w:val="00F75510"/>
    <w:pPr>
      <w:tabs>
        <w:tab w:val="center" w:pos="4252"/>
        <w:tab w:val="right" w:pos="8504"/>
      </w:tabs>
    </w:pPr>
  </w:style>
  <w:style w:type="character" w:customStyle="1" w:styleId="RodapChar">
    <w:name w:val="Rodapé Char"/>
    <w:basedOn w:val="Fontepargpadro"/>
    <w:link w:val="Rodap"/>
    <w:rsid w:val="00F75510"/>
    <w:rPr>
      <w:rFonts w:ascii="Times New Roman" w:eastAsia="MS Mincho" w:hAnsi="Times New Roman" w:cs="Times New Roman"/>
      <w:sz w:val="24"/>
      <w:szCs w:val="24"/>
      <w:lang w:eastAsia="pt-BR"/>
    </w:rPr>
  </w:style>
  <w:style w:type="character" w:styleId="Nmerodepgina">
    <w:name w:val="page number"/>
    <w:basedOn w:val="Fontepargpadro"/>
    <w:rsid w:val="00F75510"/>
  </w:style>
  <w:style w:type="paragraph" w:styleId="Cabealho">
    <w:name w:val="header"/>
    <w:basedOn w:val="Normal"/>
    <w:link w:val="CabealhoChar"/>
    <w:rsid w:val="00F75510"/>
    <w:pPr>
      <w:tabs>
        <w:tab w:val="center" w:pos="4252"/>
        <w:tab w:val="right" w:pos="8504"/>
      </w:tabs>
    </w:pPr>
  </w:style>
  <w:style w:type="character" w:customStyle="1" w:styleId="CabealhoChar">
    <w:name w:val="Cabeçalho Char"/>
    <w:basedOn w:val="Fontepargpadro"/>
    <w:link w:val="Cabealho"/>
    <w:rsid w:val="00F75510"/>
    <w:rPr>
      <w:rFonts w:ascii="Times New Roman" w:eastAsia="MS Mincho" w:hAnsi="Times New Roman" w:cs="Times New Roman"/>
      <w:sz w:val="24"/>
      <w:szCs w:val="24"/>
      <w:lang w:eastAsia="pt-BR"/>
    </w:rPr>
  </w:style>
  <w:style w:type="character" w:styleId="Hyperlink">
    <w:name w:val="Hyperlink"/>
    <w:basedOn w:val="Fontepargpadro"/>
    <w:rsid w:val="00F75510"/>
    <w:rPr>
      <w:color w:val="0000FF"/>
      <w:u w:val="single"/>
    </w:rPr>
  </w:style>
  <w:style w:type="paragraph" w:styleId="Corpodetexto2">
    <w:name w:val="Body Text 2"/>
    <w:basedOn w:val="Normal"/>
    <w:link w:val="Corpodetexto2Char"/>
    <w:rsid w:val="00F75510"/>
    <w:pPr>
      <w:spacing w:after="120" w:line="480" w:lineRule="auto"/>
    </w:pPr>
  </w:style>
  <w:style w:type="character" w:customStyle="1" w:styleId="Corpodetexto2Char">
    <w:name w:val="Corpo de texto 2 Char"/>
    <w:basedOn w:val="Fontepargpadro"/>
    <w:link w:val="Corpodetexto2"/>
    <w:rsid w:val="00F75510"/>
    <w:rPr>
      <w:rFonts w:ascii="Times New Roman" w:eastAsia="MS Mincho" w:hAnsi="Times New Roman" w:cs="Times New Roman"/>
      <w:sz w:val="24"/>
      <w:szCs w:val="24"/>
      <w:lang w:eastAsia="pt-BR"/>
    </w:rPr>
  </w:style>
  <w:style w:type="character" w:customStyle="1" w:styleId="apple-converted-space">
    <w:name w:val="apple-converted-space"/>
    <w:basedOn w:val="Fontepargpadro"/>
    <w:rsid w:val="00F75510"/>
  </w:style>
  <w:style w:type="paragraph" w:styleId="Ttulo">
    <w:name w:val="Title"/>
    <w:basedOn w:val="Normal"/>
    <w:next w:val="Normal"/>
    <w:link w:val="TtuloChar"/>
    <w:qFormat/>
    <w:rsid w:val="003934C3"/>
    <w:pPr>
      <w:suppressAutoHyphens/>
      <w:jc w:val="center"/>
    </w:pPr>
    <w:rPr>
      <w:b/>
      <w:sz w:val="28"/>
      <w:szCs w:val="20"/>
      <w:lang w:eastAsia="ar-SA"/>
    </w:rPr>
  </w:style>
  <w:style w:type="character" w:customStyle="1" w:styleId="TtuloChar">
    <w:name w:val="Título Char"/>
    <w:basedOn w:val="Fontepargpadro"/>
    <w:link w:val="Ttulo"/>
    <w:rsid w:val="003934C3"/>
    <w:rPr>
      <w:rFonts w:ascii="Times New Roman" w:eastAsia="MS Mincho" w:hAnsi="Times New Roman" w:cs="Times New Roman"/>
      <w:b/>
      <w:sz w:val="28"/>
      <w:szCs w:val="20"/>
      <w:lang w:eastAsia="ar-SA"/>
    </w:rPr>
  </w:style>
  <w:style w:type="paragraph" w:styleId="Subttulo">
    <w:name w:val="Subtitle"/>
    <w:basedOn w:val="Normal"/>
    <w:next w:val="Normal"/>
    <w:link w:val="SubttuloChar"/>
    <w:uiPriority w:val="11"/>
    <w:qFormat/>
    <w:rsid w:val="003934C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3934C3"/>
    <w:rPr>
      <w:rFonts w:asciiTheme="majorHAnsi" w:eastAsiaTheme="majorEastAsia" w:hAnsiTheme="majorHAnsi" w:cstheme="majorBidi"/>
      <w:i/>
      <w:iCs/>
      <w:color w:val="4F81BD" w:themeColor="accent1"/>
      <w:spacing w:val="15"/>
      <w:sz w:val="24"/>
      <w:szCs w:val="24"/>
      <w:lang w:eastAsia="pt-BR"/>
    </w:rPr>
  </w:style>
  <w:style w:type="character" w:customStyle="1" w:styleId="Caracteresdenotaderodap">
    <w:name w:val="Caracteres de nota de rodapé"/>
    <w:rsid w:val="00B160BC"/>
  </w:style>
  <w:style w:type="character" w:customStyle="1" w:styleId="Refdenotaderodap1">
    <w:name w:val="Ref. de nota de rodapé1"/>
    <w:rsid w:val="00B160BC"/>
    <w:rPr>
      <w:vertAlign w:val="superscript"/>
    </w:rPr>
  </w:style>
  <w:style w:type="paragraph" w:styleId="Textodenotaderodap">
    <w:name w:val="footnote text"/>
    <w:basedOn w:val="Normal"/>
    <w:link w:val="TextodenotaderodapChar"/>
    <w:rsid w:val="00B160BC"/>
    <w:pPr>
      <w:suppressLineNumbers/>
      <w:suppressAutoHyphens/>
      <w:ind w:left="339" w:hanging="339"/>
    </w:pPr>
    <w:rPr>
      <w:rFonts w:eastAsia="Times New Roman"/>
      <w:sz w:val="20"/>
      <w:szCs w:val="20"/>
      <w:lang w:eastAsia="zh-CN"/>
    </w:rPr>
  </w:style>
  <w:style w:type="character" w:customStyle="1" w:styleId="TextodenotaderodapChar">
    <w:name w:val="Texto de nota de rodapé Char"/>
    <w:basedOn w:val="Fontepargpadro"/>
    <w:link w:val="Textodenotaderodap"/>
    <w:rsid w:val="00B160BC"/>
    <w:rPr>
      <w:rFonts w:ascii="Times New Roman" w:eastAsia="Times New Roman" w:hAnsi="Times New Roman" w:cs="Times New Roman"/>
      <w:sz w:val="20"/>
      <w:szCs w:val="20"/>
      <w:lang w:eastAsia="zh-CN"/>
    </w:rPr>
  </w:style>
  <w:style w:type="character" w:styleId="Refdenotaderodap">
    <w:name w:val="footnote reference"/>
    <w:basedOn w:val="Fontepargpadro"/>
    <w:uiPriority w:val="99"/>
    <w:semiHidden/>
    <w:unhideWhenUsed/>
    <w:rsid w:val="00EB6663"/>
    <w:rPr>
      <w:vertAlign w:val="superscript"/>
    </w:rPr>
  </w:style>
  <w:style w:type="paragraph" w:styleId="PargrafodaLista">
    <w:name w:val="List Paragraph"/>
    <w:basedOn w:val="Normal"/>
    <w:uiPriority w:val="1"/>
    <w:qFormat/>
    <w:rsid w:val="00F734C4"/>
    <w:pPr>
      <w:ind w:left="720"/>
      <w:contextualSpacing/>
    </w:pPr>
  </w:style>
  <w:style w:type="paragraph" w:styleId="NormalWeb">
    <w:name w:val="Normal (Web)"/>
    <w:basedOn w:val="Normal"/>
    <w:uiPriority w:val="99"/>
    <w:semiHidden/>
    <w:unhideWhenUsed/>
    <w:rsid w:val="003B75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536">
      <w:bodyDiv w:val="1"/>
      <w:marLeft w:val="0"/>
      <w:marRight w:val="0"/>
      <w:marTop w:val="0"/>
      <w:marBottom w:val="0"/>
      <w:divBdr>
        <w:top w:val="none" w:sz="0" w:space="0" w:color="auto"/>
        <w:left w:val="none" w:sz="0" w:space="0" w:color="auto"/>
        <w:bottom w:val="none" w:sz="0" w:space="0" w:color="auto"/>
        <w:right w:val="none" w:sz="0" w:space="0" w:color="auto"/>
      </w:divBdr>
    </w:div>
    <w:div w:id="632950384">
      <w:bodyDiv w:val="1"/>
      <w:marLeft w:val="0"/>
      <w:marRight w:val="0"/>
      <w:marTop w:val="0"/>
      <w:marBottom w:val="0"/>
      <w:divBdr>
        <w:top w:val="none" w:sz="0" w:space="0" w:color="auto"/>
        <w:left w:val="none" w:sz="0" w:space="0" w:color="auto"/>
        <w:bottom w:val="none" w:sz="0" w:space="0" w:color="auto"/>
        <w:right w:val="none" w:sz="0" w:space="0" w:color="auto"/>
      </w:divBdr>
    </w:div>
    <w:div w:id="1747068979">
      <w:bodyDiv w:val="1"/>
      <w:marLeft w:val="0"/>
      <w:marRight w:val="0"/>
      <w:marTop w:val="0"/>
      <w:marBottom w:val="0"/>
      <w:divBdr>
        <w:top w:val="none" w:sz="0" w:space="0" w:color="auto"/>
        <w:left w:val="none" w:sz="0" w:space="0" w:color="auto"/>
        <w:bottom w:val="none" w:sz="0" w:space="0" w:color="auto"/>
        <w:right w:val="none" w:sz="0" w:space="0" w:color="auto"/>
      </w:divBdr>
    </w:div>
    <w:div w:id="18388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quartocentenari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8D531-4B89-44CE-BF3F-BC9FE99A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3</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Nilson</cp:lastModifiedBy>
  <cp:revision>1016</cp:revision>
  <cp:lastPrinted>2021-05-20T18:52:00Z</cp:lastPrinted>
  <dcterms:created xsi:type="dcterms:W3CDTF">2021-03-09T18:45:00Z</dcterms:created>
  <dcterms:modified xsi:type="dcterms:W3CDTF">2021-06-09T18:45:00Z</dcterms:modified>
</cp:coreProperties>
</file>